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37675">
      <w:pPr>
        <w:jc w:val="center"/>
        <w:rPr>
          <w:rFonts w:hint="eastAsia" w:eastAsia="宋体"/>
          <w:b/>
          <w:sz w:val="32"/>
          <w:szCs w:val="32"/>
          <w:lang w:eastAsia="zh-CN"/>
        </w:rPr>
      </w:pPr>
      <w:r>
        <w:rPr>
          <w:rFonts w:hint="eastAsia"/>
          <w:b/>
          <w:sz w:val="32"/>
          <w:szCs w:val="32"/>
          <w:lang w:val="en-US" w:eastAsia="zh-CN"/>
        </w:rPr>
        <w:t>中文学院/国际文化交流学院</w:t>
      </w:r>
      <w:r>
        <w:rPr>
          <w:rFonts w:hint="eastAsia"/>
          <w:b/>
          <w:sz w:val="32"/>
          <w:szCs w:val="32"/>
        </w:rPr>
        <w:t>采购项目需求</w:t>
      </w:r>
      <w:r>
        <w:rPr>
          <w:rFonts w:hint="eastAsia"/>
          <w:b/>
          <w:sz w:val="32"/>
          <w:szCs w:val="32"/>
          <w:lang w:val="en-US" w:eastAsia="zh-CN"/>
        </w:rPr>
        <w:t>文件</w:t>
      </w:r>
    </w:p>
    <w:p w14:paraId="18E4448B">
      <w:pPr>
        <w:jc w:val="left"/>
        <w:rPr>
          <w:b/>
          <w:sz w:val="24"/>
          <w:szCs w:val="24"/>
        </w:rPr>
      </w:pPr>
    </w:p>
    <w:p w14:paraId="08263A67">
      <w:pPr>
        <w:pStyle w:val="16"/>
        <w:numPr>
          <w:ilvl w:val="0"/>
          <w:numId w:val="2"/>
        </w:numPr>
        <w:spacing w:line="360" w:lineRule="auto"/>
        <w:ind w:left="482" w:hanging="482" w:hangingChars="200"/>
        <w:jc w:val="left"/>
        <w:rPr>
          <w:rFonts w:ascii="宋体" w:hAnsi="宋体"/>
          <w:b/>
          <w:sz w:val="24"/>
          <w:szCs w:val="24"/>
        </w:rPr>
      </w:pPr>
      <w:r>
        <w:rPr>
          <w:rFonts w:ascii="宋体" w:hAnsi="宋体"/>
          <w:b/>
          <w:sz w:val="24"/>
          <w:szCs w:val="24"/>
        </w:rPr>
        <w:t>总体要求</w:t>
      </w:r>
    </w:p>
    <w:p w14:paraId="3D9B33D8">
      <w:pPr>
        <w:pStyle w:val="16"/>
        <w:numPr>
          <w:ilvl w:val="0"/>
          <w:numId w:val="3"/>
        </w:numPr>
        <w:spacing w:line="360" w:lineRule="auto"/>
        <w:ind w:left="480" w:hanging="480" w:hangingChars="200"/>
        <w:jc w:val="left"/>
        <w:rPr>
          <w:rFonts w:ascii="宋体" w:hAnsi="宋体"/>
          <w:sz w:val="24"/>
          <w:szCs w:val="24"/>
        </w:rPr>
      </w:pPr>
      <w:r>
        <w:rPr>
          <w:rFonts w:ascii="宋体" w:hAnsi="宋体"/>
          <w:sz w:val="24"/>
          <w:szCs w:val="24"/>
        </w:rPr>
        <w:t>经费来源</w:t>
      </w:r>
    </w:p>
    <w:tbl>
      <w:tblPr>
        <w:tblStyle w:val="11"/>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2"/>
      </w:tblGrid>
      <w:tr w14:paraId="721A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620C8AD">
            <w:pPr>
              <w:jc w:val="left"/>
              <w:rPr>
                <w:rFonts w:ascii="宋体" w:hAnsi="宋体"/>
                <w:szCs w:val="21"/>
              </w:rPr>
            </w:pPr>
            <w:r>
              <w:rPr>
                <w:rFonts w:ascii="宋体" w:hAnsi="宋体"/>
                <w:szCs w:val="21"/>
              </w:rPr>
              <w:sym w:font="Wingdings 2" w:char="00A3"/>
            </w:r>
          </w:p>
        </w:tc>
        <w:tc>
          <w:tcPr>
            <w:tcW w:w="6232" w:type="dxa"/>
            <w:vAlign w:val="center"/>
          </w:tcPr>
          <w:p w14:paraId="32BF5B35">
            <w:pPr>
              <w:jc w:val="left"/>
              <w:rPr>
                <w:rFonts w:ascii="宋体" w:hAnsi="宋体"/>
                <w:szCs w:val="21"/>
              </w:rPr>
            </w:pPr>
            <w:r>
              <w:rPr>
                <w:rFonts w:ascii="宋体" w:hAnsi="宋体"/>
                <w:szCs w:val="21"/>
              </w:rPr>
              <w:t>教育部修购经费</w:t>
            </w:r>
          </w:p>
        </w:tc>
      </w:tr>
      <w:tr w14:paraId="06CE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8A6D97E">
            <w:pPr>
              <w:jc w:val="left"/>
              <w:rPr>
                <w:rFonts w:hint="eastAsia" w:ascii="宋体" w:hAnsi="宋体" w:eastAsia="宋体"/>
                <w:szCs w:val="21"/>
                <w:lang w:eastAsia="zh-CN"/>
              </w:rPr>
            </w:pPr>
            <w:r>
              <w:rPr>
                <w:rFonts w:hint="eastAsia" w:ascii="宋体" w:hAnsi="宋体"/>
                <w:szCs w:val="21"/>
                <w:lang w:eastAsia="zh-CN"/>
              </w:rPr>
              <w:t>☑</w:t>
            </w:r>
          </w:p>
        </w:tc>
        <w:tc>
          <w:tcPr>
            <w:tcW w:w="6232" w:type="dxa"/>
            <w:vAlign w:val="center"/>
          </w:tcPr>
          <w:p w14:paraId="03F27066">
            <w:pPr>
              <w:jc w:val="left"/>
              <w:rPr>
                <w:rFonts w:ascii="宋体" w:hAnsi="宋体"/>
                <w:szCs w:val="21"/>
              </w:rPr>
            </w:pPr>
            <w:r>
              <w:rPr>
                <w:rFonts w:ascii="宋体" w:hAnsi="宋体"/>
                <w:szCs w:val="21"/>
              </w:rPr>
              <w:t>教学设备费</w:t>
            </w:r>
          </w:p>
        </w:tc>
      </w:tr>
      <w:tr w14:paraId="6981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FE92429">
            <w:pPr>
              <w:jc w:val="left"/>
              <w:rPr>
                <w:rFonts w:ascii="宋体" w:hAnsi="宋体"/>
                <w:szCs w:val="21"/>
              </w:rPr>
            </w:pPr>
            <w:r>
              <w:rPr>
                <w:rFonts w:ascii="宋体" w:hAnsi="宋体"/>
                <w:szCs w:val="21"/>
              </w:rPr>
              <w:t>□</w:t>
            </w:r>
          </w:p>
        </w:tc>
        <w:tc>
          <w:tcPr>
            <w:tcW w:w="6232" w:type="dxa"/>
            <w:vAlign w:val="center"/>
          </w:tcPr>
          <w:p w14:paraId="6E1CFF79">
            <w:pPr>
              <w:jc w:val="left"/>
              <w:rPr>
                <w:rFonts w:ascii="宋体" w:hAnsi="宋体"/>
                <w:szCs w:val="21"/>
              </w:rPr>
            </w:pPr>
            <w:r>
              <w:rPr>
                <w:rFonts w:ascii="宋体" w:hAnsi="宋体"/>
                <w:szCs w:val="21"/>
              </w:rPr>
              <w:t>行政设备费</w:t>
            </w:r>
          </w:p>
        </w:tc>
      </w:tr>
      <w:tr w14:paraId="54E8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310C0A9">
            <w:pPr>
              <w:jc w:val="left"/>
              <w:rPr>
                <w:rFonts w:hint="eastAsia" w:ascii="宋体" w:hAnsi="宋体" w:eastAsia="宋体"/>
                <w:szCs w:val="21"/>
                <w:lang w:eastAsia="zh-CN"/>
              </w:rPr>
            </w:pPr>
            <w:r>
              <w:rPr>
                <w:rFonts w:hint="eastAsia" w:ascii="宋体" w:hAnsi="宋体"/>
                <w:szCs w:val="21"/>
                <w:lang w:eastAsia="zh-CN"/>
              </w:rPr>
              <w:t>□</w:t>
            </w:r>
          </w:p>
        </w:tc>
        <w:tc>
          <w:tcPr>
            <w:tcW w:w="6232" w:type="dxa"/>
            <w:vAlign w:val="center"/>
          </w:tcPr>
          <w:p w14:paraId="24BBD509">
            <w:pPr>
              <w:jc w:val="left"/>
              <w:rPr>
                <w:rFonts w:ascii="宋体" w:hAnsi="宋体"/>
                <w:szCs w:val="21"/>
              </w:rPr>
            </w:pPr>
            <w:r>
              <w:rPr>
                <w:rFonts w:ascii="宋体" w:hAnsi="宋体"/>
                <w:szCs w:val="21"/>
              </w:rPr>
              <w:t xml:space="preserve">其他专项经费请注明： </w:t>
            </w:r>
          </w:p>
        </w:tc>
      </w:tr>
    </w:tbl>
    <w:p w14:paraId="3AD6889F">
      <w:pPr>
        <w:pStyle w:val="16"/>
        <w:numPr>
          <w:ilvl w:val="0"/>
          <w:numId w:val="3"/>
        </w:numPr>
        <w:spacing w:line="360" w:lineRule="auto"/>
        <w:ind w:firstLineChars="0"/>
        <w:jc w:val="left"/>
        <w:rPr>
          <w:rFonts w:ascii="宋体" w:hAnsi="宋体"/>
          <w:sz w:val="24"/>
          <w:szCs w:val="24"/>
        </w:rPr>
      </w:pPr>
      <w:r>
        <w:rPr>
          <w:rFonts w:hint="eastAsia" w:ascii="宋体" w:hAnsi="宋体"/>
          <w:sz w:val="24"/>
          <w:szCs w:val="24"/>
          <w:lang w:val="en-US" w:eastAsia="zh-CN"/>
        </w:rPr>
        <w:t>设计</w:t>
      </w:r>
      <w:r>
        <w:rPr>
          <w:rFonts w:hint="eastAsia" w:ascii="宋体" w:hAnsi="宋体"/>
          <w:sz w:val="24"/>
          <w:szCs w:val="24"/>
        </w:rPr>
        <w:t>方案</w:t>
      </w:r>
    </w:p>
    <w:p w14:paraId="4445BD62">
      <w:pPr>
        <w:keepNext w:val="0"/>
        <w:keepLines w:val="0"/>
        <w:widowControl/>
        <w:numPr>
          <w:ilvl w:val="0"/>
          <w:numId w:val="4"/>
        </w:numPr>
        <w:suppressLineNumbers w:val="0"/>
        <w:jc w:val="left"/>
        <w:rPr>
          <w:rFonts w:ascii="宋体" w:hAnsi="宋体" w:eastAsia="宋体" w:cs="宋体"/>
          <w:kern w:val="0"/>
          <w:sz w:val="24"/>
          <w:szCs w:val="24"/>
          <w:lang w:val="en-US" w:eastAsia="zh-CN" w:bidi="ar"/>
        </w:rPr>
      </w:pPr>
      <w:r>
        <w:rPr>
          <w:rFonts w:hint="eastAsia" w:ascii="宋体" w:hAnsi="宋体"/>
          <w:sz w:val="24"/>
          <w:szCs w:val="24"/>
          <w:lang w:val="en-US" w:eastAsia="zh-CN"/>
        </w:rPr>
        <w:t>智慧教学大屏：</w:t>
      </w:r>
      <w:r>
        <w:rPr>
          <w:rFonts w:ascii="宋体" w:hAnsi="宋体" w:eastAsia="宋体" w:cs="宋体"/>
          <w:kern w:val="0"/>
          <w:sz w:val="24"/>
          <w:szCs w:val="24"/>
          <w:lang w:val="en-US" w:eastAsia="zh-CN" w:bidi="ar"/>
        </w:rPr>
        <w:t>智慧教学大屏（尺寸、显示精度、触控功能、AI 板书能力）、AI 追踪摄像头（变焦倍数、追踪精度、录播功能）</w:t>
      </w:r>
    </w:p>
    <w:p w14:paraId="1910ECAD">
      <w:pPr>
        <w:keepNext w:val="0"/>
        <w:keepLines w:val="0"/>
        <w:widowControl/>
        <w:numPr>
          <w:ilvl w:val="0"/>
          <w:numId w:val="4"/>
        </w:numPr>
        <w:suppressLineNumbers w:val="0"/>
        <w:jc w:val="left"/>
      </w:pPr>
      <w:r>
        <w:rPr>
          <w:rFonts w:hint="default" w:ascii="宋体" w:hAnsi="宋体"/>
          <w:sz w:val="24"/>
          <w:szCs w:val="24"/>
          <w:lang w:val="en-US" w:eastAsia="zh-CN"/>
        </w:rPr>
        <w:t>AI</w:t>
      </w:r>
      <w:r>
        <w:rPr>
          <w:rFonts w:hint="eastAsia" w:ascii="宋体" w:hAnsi="宋体"/>
          <w:sz w:val="24"/>
          <w:szCs w:val="24"/>
          <w:lang w:val="en-US" w:eastAsia="zh-CN"/>
        </w:rPr>
        <w:t>试听采集：</w:t>
      </w:r>
      <w:r>
        <w:rPr>
          <w:rFonts w:ascii="宋体" w:hAnsi="宋体" w:eastAsia="宋体" w:cs="宋体"/>
          <w:kern w:val="0"/>
          <w:sz w:val="24"/>
          <w:szCs w:val="24"/>
          <w:lang w:val="en-US" w:eastAsia="zh-CN" w:bidi="ar"/>
        </w:rPr>
        <w:t>AI 阵列麦克风（拾音角度、降噪能力、人声追踪范围）、专业音响（功率、声场覆盖、语音清晰度），按教室空间大小及多语种教学需求确定配置标准；</w:t>
      </w:r>
    </w:p>
    <w:p w14:paraId="67FFBA14">
      <w:pPr>
        <w:keepNext w:val="0"/>
        <w:keepLines w:val="0"/>
        <w:widowControl/>
        <w:numPr>
          <w:ilvl w:val="0"/>
          <w:numId w:val="4"/>
        </w:numPr>
        <w:suppressLineNumbers w:val="0"/>
        <w:jc w:val="left"/>
      </w:pPr>
      <w:r>
        <w:rPr>
          <w:rFonts w:hint="eastAsia" w:ascii="宋体" w:hAnsi="宋体"/>
          <w:sz w:val="24"/>
          <w:szCs w:val="24"/>
          <w:lang w:val="en-US" w:eastAsia="zh-CN"/>
        </w:rPr>
        <w:t>中央控制系统：</w:t>
      </w:r>
      <w:r>
        <w:rPr>
          <w:rFonts w:ascii="宋体" w:hAnsi="宋体" w:eastAsia="宋体" w:cs="宋体"/>
          <w:kern w:val="0"/>
          <w:sz w:val="24"/>
          <w:szCs w:val="24"/>
          <w:lang w:val="en-US" w:eastAsia="zh-CN" w:bidi="ar"/>
        </w:rPr>
        <w:t>中央控制系统（交互终端尺寸、管控终端性能、接口兼容性、场景切换功能）、12U 壁挂机柜（尺寸、防护等级、布线规范），按设备集成度及操作便捷性确定选型及数量；</w:t>
      </w:r>
    </w:p>
    <w:p w14:paraId="64733247">
      <w:pPr>
        <w:spacing w:line="360" w:lineRule="auto"/>
        <w:jc w:val="left"/>
        <w:rPr>
          <w:rFonts w:hint="default" w:ascii="宋体" w:hAnsi="宋体"/>
          <w:sz w:val="24"/>
          <w:szCs w:val="24"/>
          <w:lang w:val="en-US" w:eastAsia="zh-CN"/>
        </w:rPr>
      </w:pPr>
    </w:p>
    <w:p w14:paraId="36572813">
      <w:pPr>
        <w:rPr>
          <w:rFonts w:ascii="宋体" w:hAnsi="宋体"/>
          <w:sz w:val="24"/>
          <w:szCs w:val="24"/>
        </w:rPr>
      </w:pPr>
      <w:r>
        <w:rPr>
          <w:rFonts w:ascii="宋体" w:hAnsi="宋体"/>
          <w:sz w:val="24"/>
          <w:szCs w:val="24"/>
        </w:rPr>
        <w:br w:type="page"/>
      </w:r>
    </w:p>
    <w:p w14:paraId="48A92277">
      <w:pPr>
        <w:pStyle w:val="16"/>
        <w:numPr>
          <w:ilvl w:val="0"/>
          <w:numId w:val="2"/>
        </w:numPr>
        <w:spacing w:line="360" w:lineRule="auto"/>
        <w:ind w:firstLineChars="0"/>
        <w:jc w:val="left"/>
        <w:rPr>
          <w:rFonts w:ascii="宋体" w:hAnsi="宋体"/>
          <w:b/>
          <w:sz w:val="24"/>
          <w:szCs w:val="24"/>
        </w:rPr>
      </w:pPr>
      <w:r>
        <w:rPr>
          <w:rFonts w:ascii="宋体" w:hAnsi="宋体"/>
          <w:b/>
          <w:sz w:val="24"/>
          <w:szCs w:val="24"/>
        </w:rPr>
        <w:t>设备规格参数及预算（如有进口商品，请注明进口）</w:t>
      </w:r>
    </w:p>
    <w:p w14:paraId="1B9C0699">
      <w:pPr>
        <w:pStyle w:val="16"/>
        <w:numPr>
          <w:ilvl w:val="0"/>
          <w:numId w:val="5"/>
        </w:numPr>
        <w:spacing w:line="360" w:lineRule="auto"/>
        <w:ind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设备</w:t>
      </w:r>
      <w:r>
        <w:rPr>
          <w:rFonts w:hint="eastAsia" w:asciiTheme="minorEastAsia" w:hAnsiTheme="minorEastAsia" w:eastAsiaTheme="minorEastAsia"/>
          <w:sz w:val="24"/>
          <w:szCs w:val="24"/>
        </w:rPr>
        <w:t>部分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5226"/>
        <w:gridCol w:w="1012"/>
        <w:gridCol w:w="1170"/>
      </w:tblGrid>
      <w:tr w14:paraId="75E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3" w:type="dxa"/>
            <w:vAlign w:val="center"/>
          </w:tcPr>
          <w:p w14:paraId="5A903F41">
            <w:pPr>
              <w:pStyle w:val="5"/>
              <w:widowControl w:val="0"/>
              <w:jc w:val="both"/>
              <w:rPr>
                <w:rFonts w:hint="eastAsia" w:ascii="Songti SC Bold" w:hAnsi="Songti SC Bold" w:eastAsia="Songti SC Bold" w:cs="Songti SC Bold"/>
                <w:b/>
                <w:bCs/>
                <w:color w:val="auto"/>
                <w:sz w:val="22"/>
                <w:szCs w:val="22"/>
                <w:highlight w:val="none"/>
                <w:vertAlign w:val="baseline"/>
                <w:lang w:val="en-US" w:eastAsia="zh-CN"/>
              </w:rPr>
            </w:pPr>
            <w:r>
              <w:rPr>
                <w:rFonts w:hint="eastAsia" w:ascii="Songti SC Bold" w:hAnsi="Songti SC Bold" w:eastAsia="Songti SC Bold" w:cs="Songti SC Bold"/>
                <w:b/>
                <w:bCs/>
                <w:color w:val="auto"/>
                <w:sz w:val="22"/>
                <w:szCs w:val="22"/>
                <w:highlight w:val="none"/>
                <w:vertAlign w:val="baseline"/>
                <w:lang w:val="en-US" w:eastAsia="zh-CN"/>
              </w:rPr>
              <w:t>产品名称</w:t>
            </w:r>
          </w:p>
        </w:tc>
        <w:tc>
          <w:tcPr>
            <w:tcW w:w="5226" w:type="dxa"/>
            <w:vAlign w:val="center"/>
          </w:tcPr>
          <w:p w14:paraId="24F53680">
            <w:pPr>
              <w:pStyle w:val="5"/>
              <w:widowControl w:val="0"/>
              <w:jc w:val="both"/>
              <w:rPr>
                <w:rFonts w:hint="eastAsia" w:ascii="Songti SC Bold" w:hAnsi="Songti SC Bold" w:eastAsia="Songti SC Bold" w:cs="Songti SC Bold"/>
                <w:b/>
                <w:bCs/>
                <w:color w:val="auto"/>
                <w:sz w:val="22"/>
                <w:szCs w:val="22"/>
                <w:highlight w:val="none"/>
                <w:vertAlign w:val="baseline"/>
                <w:lang w:val="en-US" w:eastAsia="zh-CN"/>
              </w:rPr>
            </w:pPr>
            <w:r>
              <w:rPr>
                <w:rFonts w:hint="eastAsia" w:ascii="Songti SC Bold" w:hAnsi="Songti SC Bold" w:eastAsia="Songti SC Bold" w:cs="Songti SC Bold"/>
                <w:b/>
                <w:bCs/>
                <w:color w:val="auto"/>
                <w:sz w:val="22"/>
                <w:szCs w:val="22"/>
                <w:highlight w:val="none"/>
                <w:vertAlign w:val="baseline"/>
                <w:lang w:val="en-US" w:eastAsia="zh-CN"/>
              </w:rPr>
              <w:t>参数明细</w:t>
            </w:r>
          </w:p>
        </w:tc>
        <w:tc>
          <w:tcPr>
            <w:tcW w:w="1012" w:type="dxa"/>
            <w:vAlign w:val="center"/>
          </w:tcPr>
          <w:p w14:paraId="2A30F59B">
            <w:pPr>
              <w:pStyle w:val="5"/>
              <w:widowControl w:val="0"/>
              <w:jc w:val="both"/>
              <w:rPr>
                <w:rFonts w:hint="default" w:ascii="Songti SC Bold" w:hAnsi="Songti SC Bold" w:eastAsia="Songti SC Bold" w:cs="Songti SC Bold"/>
                <w:b/>
                <w:bCs/>
                <w:color w:val="auto"/>
                <w:sz w:val="22"/>
                <w:szCs w:val="22"/>
                <w:highlight w:val="none"/>
                <w:vertAlign w:val="baseline"/>
                <w:lang w:val="en-US" w:eastAsia="zh-CN"/>
              </w:rPr>
            </w:pPr>
            <w:r>
              <w:rPr>
                <w:rFonts w:hint="eastAsia" w:ascii="Songti SC Bold" w:hAnsi="Songti SC Bold" w:eastAsia="Songti SC Bold" w:cs="Songti SC Bold"/>
                <w:b/>
                <w:bCs/>
                <w:color w:val="auto"/>
                <w:sz w:val="22"/>
                <w:szCs w:val="22"/>
                <w:highlight w:val="none"/>
                <w:vertAlign w:val="baseline"/>
                <w:lang w:val="en-US" w:eastAsia="zh-CN"/>
              </w:rPr>
              <w:t>数量（个）</w:t>
            </w:r>
          </w:p>
        </w:tc>
        <w:tc>
          <w:tcPr>
            <w:tcW w:w="1170" w:type="dxa"/>
            <w:vAlign w:val="center"/>
          </w:tcPr>
          <w:p w14:paraId="41CBF585">
            <w:pPr>
              <w:pStyle w:val="5"/>
              <w:widowControl w:val="0"/>
              <w:jc w:val="both"/>
              <w:rPr>
                <w:rFonts w:hint="default" w:ascii="Songti SC Bold" w:hAnsi="Songti SC Bold" w:eastAsia="Songti SC Bold" w:cs="Songti SC Bold"/>
                <w:b/>
                <w:bCs/>
                <w:color w:val="auto"/>
                <w:sz w:val="22"/>
                <w:szCs w:val="22"/>
                <w:highlight w:val="none"/>
                <w:vertAlign w:val="baseline"/>
                <w:lang w:val="en-US" w:eastAsia="zh-CN"/>
              </w:rPr>
            </w:pPr>
            <w:r>
              <w:rPr>
                <w:rFonts w:hint="eastAsia" w:ascii="Songti SC Bold" w:hAnsi="Songti SC Bold" w:eastAsia="Songti SC Bold" w:cs="Songti SC Bold"/>
                <w:b/>
                <w:bCs/>
                <w:color w:val="auto"/>
                <w:sz w:val="22"/>
                <w:szCs w:val="22"/>
                <w:highlight w:val="none"/>
                <w:vertAlign w:val="baseline"/>
                <w:lang w:val="en-US" w:eastAsia="zh-CN"/>
              </w:rPr>
              <w:t>备注</w:t>
            </w:r>
          </w:p>
        </w:tc>
      </w:tr>
      <w:tr w14:paraId="0C62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2C5D3E1B">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智慧教学大屏</w:t>
            </w:r>
          </w:p>
        </w:tc>
        <w:tc>
          <w:tcPr>
            <w:tcW w:w="5226" w:type="dxa"/>
          </w:tcPr>
          <w:p w14:paraId="7F22C159">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▲1、OPS：I5 12代+16G+256G+正版Win10</w:t>
            </w:r>
            <w:r>
              <w:rPr>
                <w:rFonts w:hint="eastAsia" w:asciiTheme="minorEastAsia" w:hAnsiTheme="minorEastAsia" w:eastAsiaTheme="minorEastAsia" w:cstheme="minorEastAsia"/>
                <w:color w:val="auto"/>
                <w:sz w:val="18"/>
                <w:szCs w:val="18"/>
                <w:highlight w:val="none"/>
                <w:vertAlign w:val="baseline"/>
                <w:lang w:eastAsia="zh-CN"/>
              </w:rPr>
              <w:t>，</w:t>
            </w:r>
            <w:r>
              <w:rPr>
                <w:rFonts w:hint="eastAsia" w:asciiTheme="minorEastAsia" w:hAnsiTheme="minorEastAsia" w:eastAsiaTheme="minorEastAsia" w:cstheme="minorEastAsia"/>
                <w:color w:val="auto"/>
                <w:sz w:val="18"/>
                <w:szCs w:val="18"/>
                <w:highlight w:val="none"/>
                <w:vertAlign w:val="baseline"/>
              </w:rPr>
              <w:t>有效显示尺寸：≥86 英寸，LED 背光，液晶屏或更优。</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44CAF790">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▲2、书写面材质：≥3mm 高防爆钢化玻璃或更优，防划、防撞、防眩光、防指纹，红外触控技术与全贴合或更优，书写高度≤1mm。</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203C1615">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▲3、显示比例：16:9 或更优；可视角度：≥178°，最佳分辨率：≥3840x2160，刷新率≥60hz，屏体亮度≥350cd，对比度≥1200：1。</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7A856ED8">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lang w:val="en-US" w:eastAsia="zh-CN"/>
              </w:rPr>
              <w:t>4</w:t>
            </w:r>
            <w:r>
              <w:rPr>
                <w:rFonts w:hint="eastAsia" w:asciiTheme="minorEastAsia" w:hAnsiTheme="minorEastAsia" w:eastAsiaTheme="minorEastAsia" w:cstheme="minorEastAsia"/>
                <w:color w:val="auto"/>
                <w:sz w:val="18"/>
                <w:szCs w:val="18"/>
                <w:highlight w:val="none"/>
                <w:vertAlign w:val="baseline"/>
              </w:rPr>
              <w:t>、</w:t>
            </w:r>
            <w:r>
              <w:rPr>
                <w:rFonts w:hint="eastAsia" w:asciiTheme="minorEastAsia" w:hAnsiTheme="minorEastAsia" w:eastAsiaTheme="minorEastAsia" w:cstheme="minorEastAsia"/>
                <w:color w:val="auto"/>
                <w:sz w:val="18"/>
                <w:szCs w:val="18"/>
                <w:highlight w:val="none"/>
                <w:vertAlign w:val="baseline"/>
                <w:lang w:val="en-US" w:eastAsia="zh-CN"/>
              </w:rPr>
              <w:t>节能环保，低功耗,</w:t>
            </w:r>
            <w:r>
              <w:rPr>
                <w:rFonts w:hint="eastAsia" w:asciiTheme="minorEastAsia" w:hAnsiTheme="minorEastAsia" w:eastAsiaTheme="minorEastAsia" w:cstheme="minorEastAsia"/>
                <w:color w:val="auto"/>
                <w:sz w:val="18"/>
                <w:szCs w:val="18"/>
                <w:highlight w:val="none"/>
                <w:vertAlign w:val="baseline"/>
              </w:rPr>
              <w:t>待机功耗≤0.5W，整机最大功耗≤460W。</w:t>
            </w:r>
          </w:p>
          <w:p w14:paraId="0989117F">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lang w:val="en-US" w:eastAsia="zh-CN"/>
              </w:rPr>
              <w:t>5</w:t>
            </w:r>
            <w:r>
              <w:rPr>
                <w:rFonts w:hint="eastAsia" w:asciiTheme="minorEastAsia" w:hAnsiTheme="minorEastAsia" w:eastAsiaTheme="minorEastAsia" w:cstheme="minorEastAsia"/>
                <w:color w:val="auto"/>
                <w:sz w:val="18"/>
                <w:szCs w:val="18"/>
                <w:highlight w:val="none"/>
                <w:vertAlign w:val="baseline"/>
              </w:rPr>
              <w:t>、免驱、免校正红外触摸或更优,即插即用，内置一体成型（内置红外多点触摸技术或更优），触摸功能通讯方式：USB 或更优。</w:t>
            </w:r>
          </w:p>
          <w:p w14:paraId="33ECFA38">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lang w:val="en-US" w:eastAsia="zh-CN"/>
              </w:rPr>
              <w:t>6</w:t>
            </w:r>
            <w:r>
              <w:rPr>
                <w:rFonts w:hint="eastAsia" w:asciiTheme="minorEastAsia" w:hAnsiTheme="minorEastAsia" w:eastAsiaTheme="minorEastAsia" w:cstheme="minorEastAsia"/>
                <w:color w:val="auto"/>
                <w:sz w:val="18"/>
                <w:szCs w:val="18"/>
                <w:highlight w:val="none"/>
                <w:vertAlign w:val="baseline"/>
              </w:rPr>
              <w:t>、屏幕触摸精度≤1mm，响应时间≤2ms。</w:t>
            </w:r>
          </w:p>
          <w:p w14:paraId="1CC66312">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w:t>
            </w:r>
            <w:r>
              <w:rPr>
                <w:rFonts w:hint="eastAsia" w:asciiTheme="minorEastAsia" w:hAnsiTheme="minorEastAsia" w:eastAsiaTheme="minorEastAsia" w:cstheme="minorEastAsia"/>
                <w:color w:val="auto"/>
                <w:sz w:val="18"/>
                <w:szCs w:val="18"/>
                <w:highlight w:val="none"/>
                <w:vertAlign w:val="baseline"/>
                <w:lang w:val="en-US" w:eastAsia="zh-CN"/>
              </w:rPr>
              <w:t>7</w:t>
            </w:r>
            <w:r>
              <w:rPr>
                <w:rFonts w:hint="eastAsia" w:asciiTheme="minorEastAsia" w:hAnsiTheme="minorEastAsia" w:eastAsiaTheme="minorEastAsia" w:cstheme="minorEastAsia"/>
                <w:color w:val="auto"/>
                <w:sz w:val="18"/>
                <w:szCs w:val="18"/>
                <w:highlight w:val="none"/>
                <w:vertAlign w:val="baseline"/>
              </w:rPr>
              <w:t>、同时书写人数≥5 人，最大触摸点数≥50 点。</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514952DC">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w:t>
            </w:r>
            <w:r>
              <w:rPr>
                <w:rFonts w:hint="eastAsia" w:asciiTheme="minorEastAsia" w:hAnsiTheme="minorEastAsia" w:eastAsiaTheme="minorEastAsia" w:cstheme="minorEastAsia"/>
                <w:color w:val="auto"/>
                <w:sz w:val="18"/>
                <w:szCs w:val="18"/>
                <w:highlight w:val="none"/>
                <w:vertAlign w:val="baseline"/>
                <w:lang w:val="en-US" w:eastAsia="zh-CN"/>
              </w:rPr>
              <w:t>8</w:t>
            </w:r>
            <w:r>
              <w:rPr>
                <w:rFonts w:hint="eastAsia" w:asciiTheme="minorEastAsia" w:hAnsiTheme="minorEastAsia" w:eastAsiaTheme="minorEastAsia" w:cstheme="minorEastAsia"/>
                <w:color w:val="auto"/>
                <w:sz w:val="18"/>
                <w:szCs w:val="18"/>
                <w:highlight w:val="none"/>
                <w:vertAlign w:val="baseline"/>
              </w:rPr>
              <w:t>、智能侧边栏菜单：至少具备双侧电容触摸条。</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0D767A38">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lang w:val="en-US" w:eastAsia="zh-CN"/>
              </w:rPr>
              <w:t>9</w:t>
            </w:r>
            <w:r>
              <w:rPr>
                <w:rFonts w:hint="eastAsia" w:asciiTheme="minorEastAsia" w:hAnsiTheme="minorEastAsia" w:eastAsiaTheme="minorEastAsia" w:cstheme="minorEastAsia"/>
                <w:color w:val="auto"/>
                <w:sz w:val="18"/>
                <w:szCs w:val="18"/>
                <w:highlight w:val="none"/>
                <w:vertAlign w:val="baseline"/>
              </w:rPr>
              <w:t>、开机即进入 Windows 系统，至少支持一键锁屏和护眼模式。</w:t>
            </w:r>
          </w:p>
          <w:p w14:paraId="71D3A588">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1</w:t>
            </w:r>
            <w:r>
              <w:rPr>
                <w:rFonts w:hint="eastAsia" w:asciiTheme="minorEastAsia" w:hAnsiTheme="minorEastAsia" w:eastAsiaTheme="minorEastAsia" w:cstheme="minorEastAsia"/>
                <w:color w:val="auto"/>
                <w:sz w:val="18"/>
                <w:szCs w:val="18"/>
                <w:highlight w:val="none"/>
                <w:vertAlign w:val="baseline"/>
                <w:lang w:val="en-US" w:eastAsia="zh-CN"/>
              </w:rPr>
              <w:t>0</w:t>
            </w:r>
            <w:r>
              <w:rPr>
                <w:rFonts w:hint="eastAsia" w:asciiTheme="minorEastAsia" w:hAnsiTheme="minorEastAsia" w:eastAsiaTheme="minorEastAsia" w:cstheme="minorEastAsia"/>
                <w:color w:val="auto"/>
                <w:sz w:val="18"/>
                <w:szCs w:val="18"/>
                <w:highlight w:val="none"/>
                <w:vertAlign w:val="baseline"/>
              </w:rPr>
              <w:t>、至少内置 NFC。</w:t>
            </w:r>
          </w:p>
          <w:p w14:paraId="3051AE9E">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▲1</w:t>
            </w:r>
            <w:r>
              <w:rPr>
                <w:rFonts w:hint="eastAsia" w:asciiTheme="minorEastAsia" w:hAnsiTheme="minorEastAsia" w:eastAsiaTheme="minorEastAsia" w:cstheme="minorEastAsia"/>
                <w:color w:val="auto"/>
                <w:sz w:val="18"/>
                <w:szCs w:val="18"/>
                <w:highlight w:val="none"/>
                <w:vertAlign w:val="baseline"/>
                <w:lang w:val="en-US" w:eastAsia="zh-CN"/>
              </w:rPr>
              <w:t>1</w:t>
            </w:r>
            <w:r>
              <w:rPr>
                <w:rFonts w:hint="eastAsia" w:asciiTheme="minorEastAsia" w:hAnsiTheme="minorEastAsia" w:eastAsiaTheme="minorEastAsia" w:cstheme="minorEastAsia"/>
                <w:color w:val="auto"/>
                <w:sz w:val="18"/>
                <w:szCs w:val="18"/>
                <w:highlight w:val="none"/>
                <w:vertAlign w:val="baseline"/>
              </w:rPr>
              <w:t>、支持五指缩放屏幕或更优。</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3CFD8846">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rPr>
              <w:t>▲</w:t>
            </w:r>
            <w:r>
              <w:rPr>
                <w:rFonts w:hint="eastAsia" w:asciiTheme="minorEastAsia" w:hAnsiTheme="minorEastAsia" w:eastAsiaTheme="minorEastAsia" w:cstheme="minorEastAsia"/>
                <w:color w:val="auto"/>
                <w:sz w:val="18"/>
                <w:szCs w:val="18"/>
                <w:highlight w:val="none"/>
                <w:vertAlign w:val="baseline"/>
                <w:lang w:val="en-US" w:eastAsia="zh-CN"/>
              </w:rPr>
              <w:t>12、具备双屏互联功能，支持更加灵活的课堂形式。可支持主屏和扩展屏同时呈现板书同一页内容、上下页内容，可选择双屏板书联动或不联动。可在主屏上操作打开扩展屏上的课件并控制、批注。（需提供满足该项参数要求的演示视频或照片，并加盖制造商公章。）</w:t>
            </w:r>
          </w:p>
          <w:p w14:paraId="7F206119">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rPr>
              <w:t>▲</w:t>
            </w:r>
            <w:r>
              <w:rPr>
                <w:rFonts w:hint="eastAsia" w:asciiTheme="minorEastAsia" w:hAnsiTheme="minorEastAsia" w:eastAsiaTheme="minorEastAsia" w:cstheme="minorEastAsia"/>
                <w:color w:val="auto"/>
                <w:sz w:val="18"/>
                <w:szCs w:val="18"/>
                <w:highlight w:val="none"/>
                <w:vertAlign w:val="baseline"/>
                <w:lang w:val="en-US" w:eastAsia="zh-CN"/>
              </w:rPr>
              <w:t>13、支持利用 AI 通过语音实时答疑与知识拓展，支持通过大模型快速检索并生成结构化回答。（需提供满足该项参数要求的演示视频或照片，并加盖制造商公章。）</w:t>
            </w:r>
          </w:p>
          <w:p w14:paraId="5CD0C77A">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rPr>
            </w:pPr>
            <w:r>
              <w:rPr>
                <w:rFonts w:hint="eastAsia" w:asciiTheme="minorEastAsia" w:hAnsiTheme="minorEastAsia" w:eastAsiaTheme="minorEastAsia" w:cstheme="minorEastAsia"/>
                <w:color w:val="auto"/>
                <w:sz w:val="18"/>
                <w:szCs w:val="18"/>
                <w:highlight w:val="none"/>
                <w:vertAlign w:val="baseline"/>
              </w:rPr>
              <w:t>▲</w:t>
            </w:r>
            <w:r>
              <w:rPr>
                <w:rFonts w:hint="eastAsia" w:asciiTheme="minorEastAsia" w:hAnsiTheme="minorEastAsia" w:eastAsiaTheme="minorEastAsia" w:cstheme="minorEastAsia"/>
                <w:color w:val="auto"/>
                <w:sz w:val="18"/>
                <w:szCs w:val="18"/>
                <w:highlight w:val="none"/>
                <w:vertAlign w:val="baseline"/>
                <w:lang w:val="en-US" w:eastAsia="zh-CN"/>
              </w:rPr>
              <w:t>14、支持通过各类型麦克风，基于语音指令实现对教学软件的常用功能控制（如课件翻页、工具调取、权限操作等），提升课堂互动体验，减少教师非必要操作。（需提供满足该项参数要求的演示视频或照片，并加盖制造商公章。）</w:t>
            </w:r>
          </w:p>
        </w:tc>
        <w:tc>
          <w:tcPr>
            <w:tcW w:w="1012" w:type="dxa"/>
            <w:vAlign w:val="center"/>
          </w:tcPr>
          <w:p w14:paraId="30F47873">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2</w:t>
            </w:r>
          </w:p>
        </w:tc>
        <w:tc>
          <w:tcPr>
            <w:tcW w:w="1170" w:type="dxa"/>
            <w:vAlign w:val="center"/>
          </w:tcPr>
          <w:p w14:paraId="17FCC6F4">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Songti SC Regular" w:hAnsi="Songti SC Regular" w:eastAsia="Songti SC Regular" w:cs="Songti SC Regular"/>
                <w:color w:val="auto"/>
                <w:sz w:val="22"/>
                <w:szCs w:val="22"/>
                <w:highlight w:val="none"/>
                <w:vertAlign w:val="baseline"/>
                <w:lang w:val="en-US" w:eastAsia="zh-CN"/>
              </w:rPr>
              <w:t>教室前端主屏</w:t>
            </w:r>
          </w:p>
        </w:tc>
      </w:tr>
      <w:tr w14:paraId="0D5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shd w:val="clear" w:color="auto" w:fill="auto"/>
            <w:vAlign w:val="center"/>
          </w:tcPr>
          <w:p w14:paraId="7B58535B">
            <w:pPr>
              <w:pStyle w:val="5"/>
              <w:widowControl w:val="0"/>
              <w:ind w:left="141" w:leftChars="0"/>
              <w:jc w:val="left"/>
              <w:rPr>
                <w:rFonts w:hint="eastAsia" w:ascii="Songti SC Regular" w:hAnsi="Songti SC Regular" w:eastAsia="Songti SC Regular" w:cs="Songti SC Regular"/>
                <w:color w:val="auto"/>
                <w:kern w:val="0"/>
                <w:sz w:val="22"/>
                <w:szCs w:val="22"/>
                <w:highlight w:val="none"/>
                <w:vertAlign w:val="baseline"/>
                <w:lang w:val="en-US" w:eastAsia="zh-CN" w:bidi="ar-SA"/>
              </w:rPr>
            </w:pPr>
            <w:r>
              <w:rPr>
                <w:rFonts w:hint="eastAsia" w:ascii="Songti SC Regular" w:hAnsi="Songti SC Regular" w:eastAsia="Songti SC Regular" w:cs="Songti SC Regular"/>
                <w:color w:val="auto"/>
                <w:sz w:val="22"/>
                <w:szCs w:val="22"/>
                <w:highlight w:val="none"/>
                <w:vertAlign w:val="baseline"/>
                <w:lang w:val="en-US" w:eastAsia="zh-CN"/>
              </w:rPr>
              <w:t>智慧教学大屏</w:t>
            </w:r>
          </w:p>
        </w:tc>
        <w:tc>
          <w:tcPr>
            <w:tcW w:w="5226" w:type="dxa"/>
            <w:shd w:val="clear" w:color="auto" w:fill="auto"/>
            <w:vAlign w:val="top"/>
          </w:tcPr>
          <w:p w14:paraId="76A0E6FE">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▲1、OPS：I5 12代+16G+256G+正版Win10，有效显示尺寸：≥75英寸，LED背光，液晶屏</w:t>
            </w:r>
            <w:r>
              <w:rPr>
                <w:rFonts w:hint="eastAsia" w:asciiTheme="minorEastAsia" w:hAnsiTheme="minorEastAsia" w:eastAsiaTheme="minorEastAsia" w:cstheme="minorEastAsia"/>
                <w:color w:val="auto"/>
                <w:sz w:val="18"/>
                <w:szCs w:val="18"/>
                <w:highlight w:val="none"/>
                <w:vertAlign w:val="baseline"/>
              </w:rPr>
              <w:t>或更优</w:t>
            </w:r>
            <w:r>
              <w:rPr>
                <w:rFonts w:hint="eastAsia" w:asciiTheme="minorEastAsia" w:hAnsiTheme="minorEastAsia" w:eastAsiaTheme="minorEastAsia" w:cstheme="minorEastAsia"/>
                <w:color w:val="auto"/>
                <w:sz w:val="18"/>
                <w:szCs w:val="18"/>
                <w:highlight w:val="none"/>
                <w:vertAlign w:val="baseline"/>
                <w:lang w:eastAsia="zh-CN"/>
              </w:rPr>
              <w:t>。</w:t>
            </w:r>
            <w:r>
              <w:rPr>
                <w:rFonts w:hint="eastAsia" w:asciiTheme="minorEastAsia" w:hAnsiTheme="minorEastAsia" w:eastAsiaTheme="minorEastAsia" w:cstheme="minorEastAsia"/>
                <w:color w:val="auto"/>
                <w:sz w:val="18"/>
                <w:szCs w:val="18"/>
                <w:highlight w:val="none"/>
                <w:vertAlign w:val="baseline"/>
                <w:lang w:val="en-US" w:eastAsia="zh-CN"/>
              </w:rPr>
              <w:t>（需提供检测报告复印件，加盖投标人公章。）</w:t>
            </w:r>
          </w:p>
          <w:p w14:paraId="21DFC6F6">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▲2、书写面材质：需采用≥3mm高防爆钢化玻璃，防划、防撞、AG防眩光，AF防指纹，采用红外触控技术与全贴合设计，书写高度≤1mm。（需提供检测报告复印件，加盖投标人公章。）</w:t>
            </w:r>
          </w:p>
          <w:p w14:paraId="70F3DDB7">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3、显示比例：16:9；可视角度：≥178°，最佳分辨率：3840x2160 4K UHD，刷新率≥60hz，屏体亮度≥350cd/ M2，对比度≥1200：1；</w:t>
            </w:r>
          </w:p>
          <w:p w14:paraId="5EC38E63">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4、节能环保，低功耗,待机功耗＜0.5W，整机最大功耗（不带OPS）≤270W；</w:t>
            </w:r>
          </w:p>
          <w:p w14:paraId="4C81E88D">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5、免驱、免校正红外触摸技术,即插即用，内置一体成型（内置红外多点触摸技术，外挂框为无效投标），触摸功能通讯方式：USB；</w:t>
            </w:r>
          </w:p>
          <w:p w14:paraId="1BC4CFD0">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6、屏幕触摸精度不低于±1mm，响应时间≤2ms；</w:t>
            </w:r>
          </w:p>
          <w:p w14:paraId="479C9488">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7、同时书写人数≥5人，最大触摸点数≥50点；</w:t>
            </w:r>
          </w:p>
          <w:p w14:paraId="1AAFBE90">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8、智能侧边栏菜单</w:t>
            </w:r>
          </w:p>
          <w:p w14:paraId="7AC68D78">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9、开机即进入Windows系统，支持一键锁屏和护眼模式；</w:t>
            </w:r>
          </w:p>
          <w:p w14:paraId="6D836024">
            <w:pPr>
              <w:pStyle w:val="5"/>
              <w:widowControl w:val="0"/>
              <w:ind w:left="0" w:leftChars="0" w:firstLine="0" w:firstLineChars="0"/>
              <w:jc w:val="both"/>
              <w:rPr>
                <w:rFonts w:hint="eastAsia" w:asciiTheme="minorEastAsia" w:hAnsiTheme="minorEastAsia" w:eastAsiaTheme="minorEastAsia" w:cstheme="minorEastAsia"/>
                <w:color w:val="auto"/>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vertAlign w:val="baseline"/>
                <w:lang w:val="en-US" w:eastAsia="zh-CN"/>
              </w:rPr>
              <w:t>10、内置NFC。</w:t>
            </w:r>
          </w:p>
          <w:p w14:paraId="41C9157E">
            <w:pPr>
              <w:pStyle w:val="5"/>
              <w:widowControl w:val="0"/>
              <w:ind w:left="0" w:leftChars="0" w:firstLine="0" w:firstLineChars="0"/>
              <w:jc w:val="both"/>
              <w:rPr>
                <w:rFonts w:hint="default" w:ascii="Songti SC Regular" w:hAnsi="Songti SC Regular" w:eastAsia="Songti SC Regular" w:cs="Songti SC Regular"/>
                <w:color w:val="auto"/>
                <w:kern w:val="0"/>
                <w:sz w:val="22"/>
                <w:szCs w:val="22"/>
                <w:highlight w:val="none"/>
                <w:vertAlign w:val="baseline"/>
                <w:lang w:val="en-US" w:eastAsia="zh-CN" w:bidi="ar-SA"/>
              </w:rPr>
            </w:pPr>
            <w:r>
              <w:rPr>
                <w:rFonts w:hint="eastAsia" w:asciiTheme="minorEastAsia" w:hAnsiTheme="minorEastAsia" w:eastAsiaTheme="minorEastAsia" w:cstheme="minorEastAsia"/>
                <w:color w:val="auto"/>
                <w:sz w:val="18"/>
                <w:szCs w:val="18"/>
                <w:highlight w:val="none"/>
                <w:vertAlign w:val="baseline"/>
                <w:lang w:val="en-US" w:eastAsia="zh-CN"/>
              </w:rPr>
              <w:t>11、支持五指缩放屏幕。</w:t>
            </w:r>
          </w:p>
        </w:tc>
        <w:tc>
          <w:tcPr>
            <w:tcW w:w="1012" w:type="dxa"/>
            <w:vAlign w:val="center"/>
          </w:tcPr>
          <w:p w14:paraId="5B9F221E">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1</w:t>
            </w:r>
          </w:p>
        </w:tc>
        <w:tc>
          <w:tcPr>
            <w:tcW w:w="1170" w:type="dxa"/>
            <w:vAlign w:val="center"/>
          </w:tcPr>
          <w:p w14:paraId="22C34010">
            <w:pPr>
              <w:pStyle w:val="5"/>
              <w:widowControl w:val="0"/>
              <w:jc w:val="both"/>
              <w:rPr>
                <w:rFonts w:hint="eastAsia" w:ascii="Calibri" w:hAnsi="Calibri" w:eastAsia="宋体" w:cs="Calibri"/>
                <w:i w:val="0"/>
                <w:iCs w:val="0"/>
                <w:color w:val="000000"/>
                <w:kern w:val="0"/>
                <w:sz w:val="18"/>
                <w:szCs w:val="18"/>
                <w:u w:val="none"/>
                <w:lang w:val="en-US" w:eastAsia="zh-CN" w:bidi="ar"/>
              </w:rPr>
            </w:pPr>
            <w:r>
              <w:rPr>
                <w:rFonts w:hint="eastAsia" w:ascii="Songti SC Regular" w:hAnsi="Songti SC Regular" w:eastAsia="Songti SC Regular" w:cs="Songti SC Regular"/>
                <w:color w:val="auto"/>
                <w:sz w:val="22"/>
                <w:szCs w:val="22"/>
                <w:highlight w:val="none"/>
                <w:vertAlign w:val="baseline"/>
                <w:lang w:val="en-US" w:eastAsia="zh-CN"/>
              </w:rPr>
              <w:t>教室后端辅屏</w:t>
            </w:r>
          </w:p>
        </w:tc>
      </w:tr>
      <w:tr w14:paraId="0CA6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803" w:type="dxa"/>
            <w:vAlign w:val="center"/>
          </w:tcPr>
          <w:p w14:paraId="17954C7D">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AI追踪摄像头</w:t>
            </w:r>
          </w:p>
        </w:tc>
        <w:tc>
          <w:tcPr>
            <w:tcW w:w="5226" w:type="dxa"/>
          </w:tcPr>
          <w:p w14:paraId="695F0942">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1、</w:t>
            </w:r>
            <w:r>
              <w:rPr>
                <w:rFonts w:hint="default" w:ascii="Calibri" w:hAnsi="Calibri" w:eastAsia="宋体" w:cs="Calibri"/>
                <w:i w:val="0"/>
                <w:iCs w:val="0"/>
                <w:color w:val="000000"/>
                <w:kern w:val="0"/>
                <w:sz w:val="18"/>
                <w:szCs w:val="18"/>
                <w:u w:val="none"/>
                <w:lang w:val="en-US" w:eastAsia="zh-CN" w:bidi="ar"/>
              </w:rPr>
              <w:t>1/2.8 英寸 214 万像素高清 CMOS 传感器；</w:t>
            </w:r>
            <w:r>
              <w:rPr>
                <w:rFonts w:hint="default" w:ascii="Calibri" w:hAnsi="Calibri" w:eastAsia="宋体" w:cs="Calibri"/>
                <w:i w:val="0"/>
                <w:iCs w:val="0"/>
                <w:color w:val="000000"/>
                <w:kern w:val="0"/>
                <w:sz w:val="18"/>
                <w:szCs w:val="18"/>
                <w:u w:val="none"/>
                <w:lang w:val="en-US" w:eastAsia="zh-CN" w:bidi="ar"/>
              </w:rPr>
              <w:br w:type="textWrapping"/>
            </w:r>
            <w:r>
              <w:rPr>
                <w:rFonts w:hint="eastAsia" w:ascii="Calibri" w:hAnsi="Calibri" w:cs="Calibri"/>
                <w:i w:val="0"/>
                <w:iCs w:val="0"/>
                <w:color w:val="000000"/>
                <w:kern w:val="0"/>
                <w:sz w:val="18"/>
                <w:szCs w:val="18"/>
                <w:u w:val="none"/>
                <w:lang w:val="en-US" w:eastAsia="zh-CN" w:bidi="ar"/>
              </w:rPr>
              <w:t>2、</w:t>
            </w:r>
            <w:r>
              <w:rPr>
                <w:rFonts w:hint="default" w:ascii="Calibri" w:hAnsi="Calibri" w:eastAsia="宋体" w:cs="Calibri"/>
                <w:i w:val="0"/>
                <w:iCs w:val="0"/>
                <w:color w:val="000000"/>
                <w:kern w:val="0"/>
                <w:sz w:val="18"/>
                <w:szCs w:val="18"/>
                <w:u w:val="none"/>
                <w:lang w:val="en-US" w:eastAsia="zh-CN" w:bidi="ar"/>
              </w:rPr>
              <w:t>20 倍光学变焦，最高可输出 1080P60 的高清视频；</w:t>
            </w:r>
            <w:r>
              <w:rPr>
                <w:rFonts w:hint="default" w:ascii="Calibri" w:hAnsi="Calibri" w:eastAsia="宋体" w:cs="Calibri"/>
                <w:i w:val="0"/>
                <w:iCs w:val="0"/>
                <w:color w:val="000000"/>
                <w:kern w:val="0"/>
                <w:sz w:val="18"/>
                <w:szCs w:val="18"/>
                <w:u w:val="none"/>
                <w:lang w:val="en-US" w:eastAsia="zh-CN" w:bidi="ar"/>
              </w:rPr>
              <w:br w:type="textWrapping"/>
            </w:r>
            <w:r>
              <w:rPr>
                <w:rFonts w:hint="eastAsia" w:ascii="Calibri" w:hAnsi="Calibri" w:cs="Calibri"/>
                <w:i w:val="0"/>
                <w:iCs w:val="0"/>
                <w:color w:val="000000"/>
                <w:kern w:val="0"/>
                <w:sz w:val="18"/>
                <w:szCs w:val="18"/>
                <w:u w:val="none"/>
                <w:lang w:val="en-US" w:eastAsia="zh-CN" w:bidi="ar"/>
              </w:rPr>
              <w:t>3、</w:t>
            </w:r>
            <w:r>
              <w:rPr>
                <w:rFonts w:hint="default" w:ascii="Calibri" w:hAnsi="Calibri" w:eastAsia="宋体" w:cs="Calibri"/>
                <w:i w:val="0"/>
                <w:iCs w:val="0"/>
                <w:color w:val="000000"/>
                <w:kern w:val="0"/>
                <w:sz w:val="18"/>
                <w:szCs w:val="18"/>
                <w:u w:val="none"/>
                <w:lang w:val="en-US" w:eastAsia="zh-CN" w:bidi="ar"/>
              </w:rPr>
              <w:t>同时支持 SDI、HDMI、网络和 USB3.0 视频输出接口；</w:t>
            </w:r>
            <w:r>
              <w:rPr>
                <w:rFonts w:hint="default" w:ascii="Calibri" w:hAnsi="Calibri" w:eastAsia="宋体" w:cs="Calibri"/>
                <w:i w:val="0"/>
                <w:iCs w:val="0"/>
                <w:color w:val="000000"/>
                <w:kern w:val="0"/>
                <w:sz w:val="18"/>
                <w:szCs w:val="18"/>
                <w:u w:val="none"/>
                <w:lang w:val="en-US" w:eastAsia="zh-CN" w:bidi="ar"/>
              </w:rPr>
              <w:br w:type="textWrapping"/>
            </w:r>
            <w:r>
              <w:rPr>
                <w:rFonts w:hint="eastAsia" w:ascii="Calibri" w:hAnsi="Calibri" w:cs="Calibri"/>
                <w:i w:val="0"/>
                <w:iCs w:val="0"/>
                <w:color w:val="000000"/>
                <w:kern w:val="0"/>
                <w:sz w:val="18"/>
                <w:szCs w:val="18"/>
                <w:u w:val="none"/>
                <w:lang w:val="en-US" w:eastAsia="zh-CN" w:bidi="ar"/>
              </w:rPr>
              <w:t>4、</w:t>
            </w:r>
            <w:r>
              <w:rPr>
                <w:rFonts w:hint="default" w:ascii="Calibri" w:hAnsi="Calibri" w:eastAsia="宋体" w:cs="Calibri"/>
                <w:i w:val="0"/>
                <w:iCs w:val="0"/>
                <w:color w:val="000000"/>
                <w:kern w:val="0"/>
                <w:sz w:val="18"/>
                <w:szCs w:val="18"/>
                <w:u w:val="none"/>
                <w:lang w:val="en-US" w:eastAsia="zh-CN" w:bidi="ar"/>
              </w:rPr>
              <w:t>支持 4 码流，支持 RTMP 推流；</w:t>
            </w:r>
            <w:r>
              <w:rPr>
                <w:rFonts w:hint="default" w:ascii="Calibri" w:hAnsi="Calibri" w:eastAsia="宋体" w:cs="Calibri"/>
                <w:i w:val="0"/>
                <w:iCs w:val="0"/>
                <w:color w:val="000000"/>
                <w:kern w:val="0"/>
                <w:sz w:val="18"/>
                <w:szCs w:val="18"/>
                <w:u w:val="none"/>
                <w:lang w:val="en-US" w:eastAsia="zh-CN" w:bidi="ar"/>
              </w:rPr>
              <w:br w:type="textWrapping"/>
            </w:r>
            <w:r>
              <w:rPr>
                <w:rFonts w:hint="eastAsia" w:ascii="Calibri" w:hAnsi="Calibri" w:cs="Calibri"/>
                <w:i w:val="0"/>
                <w:iCs w:val="0"/>
                <w:color w:val="000000"/>
                <w:kern w:val="0"/>
                <w:sz w:val="18"/>
                <w:szCs w:val="18"/>
                <w:u w:val="none"/>
                <w:lang w:val="en-US" w:eastAsia="zh-CN" w:bidi="ar"/>
              </w:rPr>
              <w:t>5、</w:t>
            </w:r>
            <w:r>
              <w:rPr>
                <w:rFonts w:hint="default" w:ascii="Calibri" w:hAnsi="Calibri" w:eastAsia="宋体" w:cs="Calibri"/>
                <w:i w:val="0"/>
                <w:iCs w:val="0"/>
                <w:color w:val="000000"/>
                <w:kern w:val="0"/>
                <w:sz w:val="18"/>
                <w:szCs w:val="18"/>
                <w:u w:val="none"/>
                <w:lang w:val="en-US" w:eastAsia="zh-CN" w:bidi="ar"/>
              </w:rPr>
              <w:t>POE 供电；</w:t>
            </w:r>
          </w:p>
        </w:tc>
        <w:tc>
          <w:tcPr>
            <w:tcW w:w="1012" w:type="dxa"/>
            <w:vAlign w:val="center"/>
          </w:tcPr>
          <w:p w14:paraId="6616E5A9">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w:t>
            </w:r>
          </w:p>
        </w:tc>
        <w:tc>
          <w:tcPr>
            <w:tcW w:w="1170" w:type="dxa"/>
            <w:vAlign w:val="center"/>
          </w:tcPr>
          <w:p w14:paraId="3836DF51">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Songti SC Regular" w:hAnsi="Songti SC Regular" w:eastAsia="Songti SC Regular" w:cs="Songti SC Regular"/>
                <w:color w:val="auto"/>
                <w:sz w:val="22"/>
                <w:szCs w:val="22"/>
                <w:highlight w:val="none"/>
                <w:vertAlign w:val="baseline"/>
                <w:lang w:val="en-US" w:eastAsia="zh-CN"/>
              </w:rPr>
              <w:t>1台教师端摄像头和1台学生端摄像头</w:t>
            </w:r>
          </w:p>
        </w:tc>
      </w:tr>
      <w:tr w14:paraId="2B19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3E528487">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AI阵列麦克风</w:t>
            </w:r>
          </w:p>
        </w:tc>
        <w:tc>
          <w:tcPr>
            <w:tcW w:w="5226" w:type="dxa"/>
          </w:tcPr>
          <w:p w14:paraId="5B1633B0">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麦克风、音频处理部分和数字功率放大器部分一体式设计</w:t>
            </w:r>
          </w:p>
          <w:p w14:paraId="73AC58CD">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2</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麦克风频响范围： 100Hz-20KHz</w:t>
            </w:r>
          </w:p>
          <w:p w14:paraId="3BABA528">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3</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麦克风最大声压级≥125 dB</w:t>
            </w:r>
          </w:p>
          <w:p w14:paraId="631F607F">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▲4</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麦克风数量≥32个</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提供CNAS标志的检测报告）</w:t>
            </w:r>
          </w:p>
          <w:p w14:paraId="4BE9C0A4">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5</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信号处理最低延时≤8ms</w:t>
            </w:r>
          </w:p>
          <w:p w14:paraId="2AEF7C2E">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▲6</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波束宽度≤1°，根据语音特性进行，快速自动追踪人声位置，获取最佳语言清晰度。拾音区域可根据环境而自由设定，支持≥12个拾音屏蔽和≥5个优先区域设置。</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提供CNAS标志的检测报告）</w:t>
            </w:r>
          </w:p>
          <w:p w14:paraId="1BFBE010">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7</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具备AI智能降噪，反馈抑制，回声消除，自动增益控制功能</w:t>
            </w:r>
          </w:p>
          <w:p w14:paraId="73200FAD">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8</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支持线上互动和均衡扩音功能同时实现</w:t>
            </w:r>
          </w:p>
          <w:p w14:paraId="5272011E">
            <w:pPr>
              <w:pStyle w:val="5"/>
              <w:widowControl w:val="0"/>
              <w:ind w:left="0" w:leftChars="0" w:firstLine="0" w:firstLineChars="0"/>
              <w:jc w:val="both"/>
              <w:rPr>
                <w:rFonts w:hint="eastAsia"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9</w:t>
            </w:r>
            <w:r>
              <w:rPr>
                <w:rFonts w:hint="eastAsia" w:ascii="Calibri" w:hAnsi="Calibri" w:cs="Calibri"/>
                <w:i w:val="0"/>
                <w:iCs w:val="0"/>
                <w:color w:val="000000"/>
                <w:kern w:val="0"/>
                <w:sz w:val="18"/>
                <w:szCs w:val="18"/>
                <w:u w:val="none"/>
                <w:lang w:val="en-US" w:eastAsia="zh-CN" w:bidi="ar"/>
              </w:rPr>
              <w:t>、</w:t>
            </w:r>
            <w:r>
              <w:rPr>
                <w:rFonts w:hint="eastAsia" w:ascii="Calibri" w:hAnsi="Calibri" w:eastAsia="宋体" w:cs="Calibri"/>
                <w:i w:val="0"/>
                <w:iCs w:val="0"/>
                <w:color w:val="000000"/>
                <w:kern w:val="0"/>
                <w:sz w:val="18"/>
                <w:szCs w:val="18"/>
                <w:u w:val="none"/>
                <w:lang w:val="en-US" w:eastAsia="zh-CN" w:bidi="ar"/>
              </w:rPr>
              <w:t>支持遥控器控制，支持≥1路RS232串口控制</w:t>
            </w:r>
          </w:p>
        </w:tc>
        <w:tc>
          <w:tcPr>
            <w:tcW w:w="1012" w:type="dxa"/>
            <w:vAlign w:val="center"/>
          </w:tcPr>
          <w:p w14:paraId="48124EE2">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Align w:val="center"/>
          </w:tcPr>
          <w:p w14:paraId="1F9FBA6F">
            <w:pPr>
              <w:pStyle w:val="5"/>
              <w:widowControl w:val="0"/>
              <w:jc w:val="both"/>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无感收音与扩音</w:t>
            </w:r>
          </w:p>
        </w:tc>
      </w:tr>
      <w:tr w14:paraId="25D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7EBFE05C">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壁挂音响</w:t>
            </w:r>
          </w:p>
        </w:tc>
        <w:tc>
          <w:tcPr>
            <w:tcW w:w="5226" w:type="dxa"/>
          </w:tcPr>
          <w:p w14:paraId="41C0E8A1">
            <w:pPr>
              <w:pStyle w:val="5"/>
              <w:widowControl w:val="0"/>
              <w:ind w:left="0" w:leftChars="0" w:firstLine="0" w:firstLineChars="0"/>
              <w:jc w:val="both"/>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1、有效频率范围(-10dB) 80Hz-20kHz</w:t>
            </w:r>
          </w:p>
          <w:p w14:paraId="3A5C76A6">
            <w:pPr>
              <w:pStyle w:val="5"/>
              <w:widowControl w:val="0"/>
              <w:ind w:left="0" w:leftChars="0" w:firstLine="0" w:firstLineChars="0"/>
              <w:jc w:val="both"/>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2、额定阻抗(±20%) 8Ω</w:t>
            </w:r>
          </w:p>
          <w:p w14:paraId="31759525">
            <w:pPr>
              <w:pStyle w:val="5"/>
              <w:widowControl w:val="0"/>
              <w:ind w:left="0" w:leftChars="0" w:firstLine="0" w:firstLineChars="0"/>
              <w:jc w:val="both"/>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3、音箱功率 ≥80W</w:t>
            </w:r>
          </w:p>
          <w:p w14:paraId="6EE14DBC">
            <w:pPr>
              <w:pStyle w:val="5"/>
              <w:widowControl w:val="0"/>
              <w:ind w:left="0" w:leftChars="0" w:firstLine="0" w:firstLineChars="0"/>
              <w:jc w:val="both"/>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4、指定频带内的声压级 ≥110dB</w:t>
            </w:r>
          </w:p>
          <w:p w14:paraId="016486A8">
            <w:pPr>
              <w:pStyle w:val="5"/>
              <w:widowControl w:val="0"/>
              <w:ind w:left="0" w:leftChars="0" w:firstLine="0" w:firstLineChars="0"/>
              <w:jc w:val="both"/>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5、覆盖角度（水平/垂直） ≥90°x90°</w:t>
            </w:r>
          </w:p>
          <w:p w14:paraId="00287C10">
            <w:pPr>
              <w:pStyle w:val="5"/>
              <w:widowControl w:val="0"/>
              <w:ind w:left="0" w:leftChars="0" w:firstLine="0" w:firstLineChars="0"/>
              <w:jc w:val="both"/>
              <w:rPr>
                <w:rFonts w:hint="default" w:ascii="Calibri" w:hAnsi="Calibri" w:eastAsia="宋体" w:cs="Calibri"/>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6、增益调节范围 ≥15dB</w:t>
            </w:r>
          </w:p>
        </w:tc>
        <w:tc>
          <w:tcPr>
            <w:tcW w:w="1012" w:type="dxa"/>
            <w:vAlign w:val="center"/>
          </w:tcPr>
          <w:p w14:paraId="2D759B25">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2</w:t>
            </w:r>
          </w:p>
        </w:tc>
        <w:tc>
          <w:tcPr>
            <w:tcW w:w="1170" w:type="dxa"/>
            <w:vMerge w:val="restart"/>
            <w:vAlign w:val="center"/>
          </w:tcPr>
          <w:p w14:paraId="7F46757B">
            <w:pPr>
              <w:pStyle w:val="5"/>
              <w:widowControl w:val="0"/>
              <w:jc w:val="both"/>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均衡声场效果</w:t>
            </w:r>
          </w:p>
        </w:tc>
      </w:tr>
      <w:tr w14:paraId="1663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45A5DE0D">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吸顶音响</w:t>
            </w:r>
          </w:p>
        </w:tc>
        <w:tc>
          <w:tcPr>
            <w:tcW w:w="5226" w:type="dxa"/>
          </w:tcPr>
          <w:p w14:paraId="2B5890EB">
            <w:pPr>
              <w:pStyle w:val="5"/>
              <w:widowControl w:val="0"/>
              <w:ind w:left="0" w:leftChars="0" w:firstLine="0" w:firstLineChars="0"/>
              <w:jc w:val="both"/>
              <w:rPr>
                <w:rFonts w:hint="default" w:ascii="Calibri" w:hAnsi="Calibri" w:eastAsia="宋体" w:cs="Calibri"/>
                <w:i w:val="0"/>
                <w:iCs w:val="0"/>
                <w:color w:val="000000"/>
                <w:kern w:val="0"/>
                <w:sz w:val="18"/>
                <w:szCs w:val="18"/>
                <w:u w:val="none"/>
                <w:lang w:val="en-US" w:eastAsia="zh-CN" w:bidi="ar"/>
              </w:rPr>
            </w:pPr>
            <w:r>
              <w:rPr>
                <w:rFonts w:hint="default" w:ascii="Calibri" w:hAnsi="Calibri" w:eastAsia="宋体" w:cs="Calibri"/>
                <w:i w:val="0"/>
                <w:iCs w:val="0"/>
                <w:color w:val="000000"/>
                <w:kern w:val="0"/>
                <w:sz w:val="18"/>
                <w:szCs w:val="18"/>
                <w:u w:val="none"/>
                <w:lang w:val="en-US" w:eastAsia="zh-CN" w:bidi="ar"/>
              </w:rPr>
              <w:t>1</w:t>
            </w:r>
            <w:r>
              <w:rPr>
                <w:rFonts w:hint="eastAsia" w:ascii="Calibri" w:hAnsi="Calibri" w:cs="Calibri"/>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 xml:space="preserve">有效频率范围(-10dB)：80Hz-20kHz </w:t>
            </w:r>
          </w:p>
          <w:p w14:paraId="67FE9F10">
            <w:pPr>
              <w:pStyle w:val="5"/>
              <w:widowControl w:val="0"/>
              <w:ind w:left="0" w:leftChars="0" w:firstLine="0" w:firstLineChars="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2、</w:t>
            </w:r>
            <w:r>
              <w:rPr>
                <w:rFonts w:hint="default" w:ascii="Calibri" w:hAnsi="Calibri" w:eastAsia="宋体" w:cs="Calibri"/>
                <w:i w:val="0"/>
                <w:iCs w:val="0"/>
                <w:color w:val="000000"/>
                <w:kern w:val="0"/>
                <w:sz w:val="18"/>
                <w:szCs w:val="18"/>
                <w:u w:val="none"/>
                <w:lang w:val="en-US" w:eastAsia="zh-CN" w:bidi="ar"/>
              </w:rPr>
              <w:t xml:space="preserve">额定阻抗(±20%): 8 Ω                     </w:t>
            </w:r>
          </w:p>
          <w:p w14:paraId="6B6EA94E">
            <w:pPr>
              <w:pStyle w:val="5"/>
              <w:widowControl w:val="0"/>
              <w:ind w:left="0" w:leftChars="0" w:firstLine="0" w:firstLineChars="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3、</w:t>
            </w:r>
            <w:r>
              <w:rPr>
                <w:rFonts w:hint="default" w:ascii="Calibri" w:hAnsi="Calibri" w:eastAsia="宋体" w:cs="Calibri"/>
                <w:i w:val="0"/>
                <w:iCs w:val="0"/>
                <w:color w:val="000000"/>
                <w:kern w:val="0"/>
                <w:sz w:val="18"/>
                <w:szCs w:val="18"/>
                <w:u w:val="none"/>
                <w:lang w:val="en-US" w:eastAsia="zh-CN" w:bidi="ar"/>
              </w:rPr>
              <w:t>音箱承受功率：≥60W AES</w:t>
            </w:r>
          </w:p>
          <w:p w14:paraId="6AA40C53">
            <w:pPr>
              <w:pStyle w:val="5"/>
              <w:widowControl w:val="0"/>
              <w:ind w:left="0" w:leftChars="0" w:firstLine="0" w:firstLineChars="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4、</w:t>
            </w:r>
            <w:r>
              <w:rPr>
                <w:rFonts w:hint="default" w:ascii="Calibri" w:hAnsi="Calibri" w:eastAsia="宋体" w:cs="Calibri"/>
                <w:i w:val="0"/>
                <w:iCs w:val="0"/>
                <w:color w:val="000000"/>
                <w:kern w:val="0"/>
                <w:sz w:val="18"/>
                <w:szCs w:val="18"/>
                <w:u w:val="none"/>
                <w:lang w:val="en-US" w:eastAsia="zh-CN" w:bidi="ar"/>
              </w:rPr>
              <w:t xml:space="preserve">指定频带内的声压级(±2dB): ≥113dB </w:t>
            </w:r>
          </w:p>
          <w:p w14:paraId="12E2DD44">
            <w:pPr>
              <w:pStyle w:val="5"/>
              <w:widowControl w:val="0"/>
              <w:ind w:left="0" w:leftChars="0" w:firstLine="0" w:firstLineChars="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5、</w:t>
            </w:r>
            <w:r>
              <w:rPr>
                <w:rFonts w:hint="default" w:ascii="Calibri" w:hAnsi="Calibri" w:eastAsia="宋体" w:cs="Calibri"/>
                <w:i w:val="0"/>
                <w:iCs w:val="0"/>
                <w:color w:val="000000"/>
                <w:kern w:val="0"/>
                <w:sz w:val="18"/>
                <w:szCs w:val="18"/>
                <w:u w:val="none"/>
                <w:lang w:val="en-US" w:eastAsia="zh-CN" w:bidi="ar"/>
              </w:rPr>
              <w:t>覆盖角度（水平/垂直）：≥90°x90°</w:t>
            </w:r>
          </w:p>
        </w:tc>
        <w:tc>
          <w:tcPr>
            <w:tcW w:w="1012" w:type="dxa"/>
            <w:vAlign w:val="center"/>
          </w:tcPr>
          <w:p w14:paraId="7109135F">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cs="Calibri"/>
                <w:i w:val="0"/>
                <w:iCs w:val="0"/>
                <w:color w:val="000000"/>
                <w:kern w:val="0"/>
                <w:sz w:val="18"/>
                <w:szCs w:val="18"/>
                <w:u w:val="none"/>
                <w:lang w:val="en-US" w:eastAsia="zh-CN" w:bidi="ar"/>
              </w:rPr>
              <w:t>4</w:t>
            </w:r>
          </w:p>
        </w:tc>
        <w:tc>
          <w:tcPr>
            <w:tcW w:w="1170" w:type="dxa"/>
            <w:vMerge w:val="continue"/>
            <w:vAlign w:val="center"/>
          </w:tcPr>
          <w:p w14:paraId="6A0C70F4">
            <w:pPr>
              <w:pStyle w:val="5"/>
              <w:widowControl w:val="0"/>
              <w:jc w:val="both"/>
              <w:rPr>
                <w:rFonts w:hint="eastAsia" w:ascii="Calibri" w:hAnsi="Calibri" w:eastAsia="宋体" w:cs="Calibri"/>
                <w:i w:val="0"/>
                <w:iCs w:val="0"/>
                <w:color w:val="000000"/>
                <w:kern w:val="0"/>
                <w:sz w:val="18"/>
                <w:szCs w:val="18"/>
                <w:u w:val="none"/>
                <w:lang w:val="en-US" w:eastAsia="zh-CN" w:bidi="ar"/>
              </w:rPr>
            </w:pPr>
          </w:p>
        </w:tc>
      </w:tr>
      <w:tr w14:paraId="1780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0B21E7DB">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default" w:ascii="Songti SC Regular" w:hAnsi="Songti SC Regular" w:eastAsia="Songti SC Regular" w:cs="Songti SC Regular"/>
                <w:color w:val="auto"/>
                <w:sz w:val="22"/>
                <w:szCs w:val="22"/>
                <w:highlight w:val="none"/>
                <w:vertAlign w:val="baseline"/>
                <w:lang w:val="en-US" w:eastAsia="zh-CN"/>
              </w:rPr>
              <w:t>数据处理分析管控终端</w:t>
            </w:r>
          </w:p>
        </w:tc>
        <w:tc>
          <w:tcPr>
            <w:tcW w:w="5226" w:type="dxa"/>
          </w:tcPr>
          <w:p w14:paraId="7EFC94A7">
            <w:pPr>
              <w:pStyle w:val="5"/>
              <w:widowControl w:val="0"/>
              <w:ind w:left="0" w:leftChars="0" w:firstLine="0" w:firstLineChars="0"/>
              <w:jc w:val="both"/>
              <w:rPr>
                <w:rFonts w:hint="eastAsia" w:ascii="Songti SC Regular" w:hAnsi="Songti SC Regular" w:eastAsia="Songti SC Regular" w:cs="Songti SC Regular"/>
                <w:color w:val="auto"/>
                <w:sz w:val="22"/>
                <w:szCs w:val="22"/>
                <w:highlight w:val="none"/>
                <w:vertAlign w:val="baseline"/>
              </w:rPr>
            </w:pPr>
            <w:r>
              <w:rPr>
                <w:rFonts w:hint="default" w:ascii="Calibri" w:hAnsi="Calibri" w:eastAsia="宋体" w:cs="Calibri"/>
                <w:i w:val="0"/>
                <w:iCs w:val="0"/>
                <w:color w:val="000000"/>
                <w:kern w:val="0"/>
                <w:sz w:val="18"/>
                <w:szCs w:val="18"/>
                <w:u w:val="none"/>
                <w:lang w:val="en-US" w:eastAsia="zh-CN" w:bidi="ar"/>
              </w:rPr>
              <w:t>1、采用32位嵌入式系统，非PC机插卡方式，全国产化芯片，支持本地、私有云、公有云多种部署方式；（需提供检测报告）</w:t>
            </w:r>
            <w:r>
              <w:rPr>
                <w:rFonts w:hint="default" w:ascii="Calibri" w:hAnsi="Calibri" w:eastAsia="宋体" w:cs="Calibri"/>
                <w:i w:val="0"/>
                <w:iCs w:val="0"/>
                <w:color w:val="000000"/>
                <w:kern w:val="0"/>
                <w:sz w:val="18"/>
                <w:szCs w:val="18"/>
                <w:u w:val="none"/>
                <w:lang w:val="en-US" w:eastAsia="zh-CN" w:bidi="ar"/>
              </w:rPr>
              <w:br w:type="textWrapping"/>
            </w:r>
            <w:r>
              <w:rPr>
                <w:rFonts w:hint="default" w:ascii="Calibri" w:hAnsi="Calibri" w:eastAsia="宋体" w:cs="Calibri"/>
                <w:i w:val="0"/>
                <w:iCs w:val="0"/>
                <w:color w:val="000000"/>
                <w:kern w:val="0"/>
                <w:sz w:val="18"/>
                <w:szCs w:val="18"/>
                <w:u w:val="none"/>
                <w:lang w:val="en-US" w:eastAsia="zh-CN" w:bidi="ar"/>
              </w:rPr>
              <w:t>2、前面板具有12路控制状态指示灯，支持自定义指示灯示意情景，支持定义指示灯颜色状态，用于端口状态提示、系统预警提醒、设备状态情况提醒，对异常或保障，支持闪烁提醒；（需提供检测报告）</w:t>
            </w:r>
          </w:p>
        </w:tc>
        <w:tc>
          <w:tcPr>
            <w:tcW w:w="1012" w:type="dxa"/>
            <w:vAlign w:val="center"/>
          </w:tcPr>
          <w:p w14:paraId="53B796F6">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Merge w:val="restart"/>
            <w:vAlign w:val="center"/>
          </w:tcPr>
          <w:p w14:paraId="2A54A99C">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Songti SC Regular" w:hAnsi="Songti SC Regular" w:eastAsia="Songti SC Regular" w:cs="Songti SC Regular"/>
                <w:color w:val="auto"/>
                <w:sz w:val="22"/>
                <w:szCs w:val="22"/>
                <w:highlight w:val="none"/>
                <w:vertAlign w:val="baseline"/>
                <w:lang w:val="en-US" w:eastAsia="zh-CN"/>
              </w:rPr>
              <w:t>中央控制系统</w:t>
            </w:r>
          </w:p>
        </w:tc>
      </w:tr>
      <w:tr w14:paraId="5B07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7513D611">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default" w:ascii="Songti SC Regular" w:hAnsi="Songti SC Regular" w:eastAsia="Songti SC Regular" w:cs="Songti SC Regular"/>
                <w:color w:val="auto"/>
                <w:sz w:val="22"/>
                <w:szCs w:val="22"/>
                <w:highlight w:val="none"/>
                <w:vertAlign w:val="baseline"/>
                <w:lang w:val="en-US" w:eastAsia="zh-CN"/>
              </w:rPr>
              <w:t>8英寸交互终端</w:t>
            </w:r>
          </w:p>
        </w:tc>
        <w:tc>
          <w:tcPr>
            <w:tcW w:w="5226" w:type="dxa"/>
          </w:tcPr>
          <w:p w14:paraId="5A01D43F">
            <w:pPr>
              <w:pStyle w:val="5"/>
              <w:widowControl w:val="0"/>
              <w:ind w:left="0" w:leftChars="0" w:firstLine="0" w:firstLineChars="0"/>
              <w:jc w:val="both"/>
              <w:rPr>
                <w:rFonts w:hint="eastAsia" w:ascii="Songti SC Regular" w:hAnsi="Songti SC Regular" w:eastAsia="Songti SC Regular" w:cs="Songti SC Regular"/>
                <w:color w:val="auto"/>
                <w:sz w:val="22"/>
                <w:szCs w:val="22"/>
                <w:highlight w:val="none"/>
                <w:vertAlign w:val="baseline"/>
              </w:rPr>
            </w:pPr>
            <w:r>
              <w:rPr>
                <w:rFonts w:hint="default" w:ascii="Calibri" w:hAnsi="Calibri" w:eastAsia="宋体" w:cs="Calibri"/>
                <w:i w:val="0"/>
                <w:iCs w:val="0"/>
                <w:color w:val="000000"/>
                <w:kern w:val="0"/>
                <w:sz w:val="18"/>
                <w:szCs w:val="18"/>
                <w:u w:val="none"/>
                <w:lang w:val="en-US" w:eastAsia="zh-CN" w:bidi="ar"/>
              </w:rPr>
              <w:t>1、8寸IPS电容式触摸屏，支持十点触控，分辨率1280×800，宽高比为16:10，色域可达到72%；</w:t>
            </w:r>
            <w:r>
              <w:rPr>
                <w:rFonts w:hint="default" w:ascii="Calibri" w:hAnsi="Calibri" w:eastAsia="宋体" w:cs="Calibri"/>
                <w:i w:val="0"/>
                <w:iCs w:val="0"/>
                <w:color w:val="000000"/>
                <w:kern w:val="0"/>
                <w:sz w:val="18"/>
                <w:szCs w:val="18"/>
                <w:u w:val="none"/>
                <w:lang w:val="en-US" w:eastAsia="zh-CN" w:bidi="ar"/>
              </w:rPr>
              <w:br w:type="textWrapping"/>
            </w:r>
            <w:r>
              <w:rPr>
                <w:rFonts w:hint="default" w:ascii="Calibri" w:hAnsi="Calibri" w:eastAsia="宋体" w:cs="Calibri"/>
                <w:i w:val="0"/>
                <w:iCs w:val="0"/>
                <w:color w:val="000000"/>
                <w:kern w:val="0"/>
                <w:sz w:val="18"/>
                <w:szCs w:val="18"/>
                <w:u w:val="none"/>
                <w:lang w:val="en-US" w:eastAsia="zh-CN" w:bidi="ar"/>
              </w:rPr>
              <w:t>2、▲支持触控屏操作界面自定义设计:风格自定义，按键样式自定义，logo自定义等；</w:t>
            </w:r>
            <w:r>
              <w:rPr>
                <w:rFonts w:hint="default" w:ascii="Calibri" w:hAnsi="Calibri" w:eastAsia="宋体" w:cs="Calibri"/>
                <w:i w:val="0"/>
                <w:iCs w:val="0"/>
                <w:color w:val="000000"/>
                <w:kern w:val="0"/>
                <w:sz w:val="18"/>
                <w:szCs w:val="18"/>
                <w:u w:val="none"/>
                <w:lang w:val="en-US" w:eastAsia="zh-CN" w:bidi="ar"/>
              </w:rPr>
              <w:br w:type="textWrapping"/>
            </w:r>
            <w:r>
              <w:rPr>
                <w:rFonts w:hint="default" w:ascii="Calibri" w:hAnsi="Calibri" w:eastAsia="宋体" w:cs="Calibri"/>
                <w:i w:val="0"/>
                <w:iCs w:val="0"/>
                <w:color w:val="000000"/>
                <w:kern w:val="0"/>
                <w:sz w:val="18"/>
                <w:szCs w:val="18"/>
                <w:u w:val="none"/>
                <w:lang w:val="en-US" w:eastAsia="zh-CN" w:bidi="ar"/>
              </w:rPr>
              <w:t>3、屏幕亮度≥35cd/m2，对比度 1400:1</w:t>
            </w:r>
            <w:r>
              <w:rPr>
                <w:rFonts w:hint="default" w:ascii="Calibri" w:hAnsi="Calibri" w:eastAsia="宋体" w:cs="Calibri"/>
                <w:i w:val="0"/>
                <w:iCs w:val="0"/>
                <w:color w:val="000000"/>
                <w:kern w:val="0"/>
                <w:sz w:val="18"/>
                <w:szCs w:val="18"/>
                <w:u w:val="none"/>
                <w:lang w:val="en-US" w:eastAsia="zh-CN" w:bidi="ar"/>
              </w:rPr>
              <w:br w:type="textWrapping"/>
            </w:r>
            <w:r>
              <w:rPr>
                <w:rFonts w:hint="default" w:ascii="Calibri" w:hAnsi="Calibri" w:eastAsia="宋体" w:cs="Calibri"/>
                <w:i w:val="0"/>
                <w:iCs w:val="0"/>
                <w:color w:val="000000"/>
                <w:kern w:val="0"/>
                <w:sz w:val="18"/>
                <w:szCs w:val="18"/>
                <w:u w:val="none"/>
                <w:lang w:val="en-US" w:eastAsia="zh-CN" w:bidi="ar"/>
              </w:rPr>
              <w:t>4、▲内置麦克风，集成可视化IP对讲模块，实现房间端─键呼叫总控室，支持设备报障，紧急情况上报处理；（需提供检测报告）</w:t>
            </w:r>
          </w:p>
        </w:tc>
        <w:tc>
          <w:tcPr>
            <w:tcW w:w="1012" w:type="dxa"/>
            <w:vAlign w:val="center"/>
          </w:tcPr>
          <w:p w14:paraId="616C95A5">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Merge w:val="continue"/>
            <w:vAlign w:val="center"/>
          </w:tcPr>
          <w:p w14:paraId="2F0CFA49">
            <w:pPr>
              <w:pStyle w:val="5"/>
              <w:widowControl w:val="0"/>
              <w:jc w:val="both"/>
              <w:rPr>
                <w:rFonts w:hint="eastAsia" w:ascii="Calibri" w:hAnsi="Calibri" w:eastAsia="宋体" w:cs="Calibri"/>
                <w:i w:val="0"/>
                <w:iCs w:val="0"/>
                <w:color w:val="000000"/>
                <w:kern w:val="0"/>
                <w:sz w:val="18"/>
                <w:szCs w:val="18"/>
                <w:u w:val="none"/>
                <w:lang w:val="en-US" w:eastAsia="zh-CN" w:bidi="ar"/>
              </w:rPr>
            </w:pPr>
          </w:p>
        </w:tc>
      </w:tr>
      <w:tr w14:paraId="5D72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6BCC1ABD">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default" w:ascii="Songti SC Regular" w:hAnsi="Songti SC Regular" w:eastAsia="Songti SC Regular" w:cs="Songti SC Regular"/>
                <w:color w:val="auto"/>
                <w:sz w:val="22"/>
                <w:szCs w:val="22"/>
                <w:highlight w:val="none"/>
                <w:vertAlign w:val="baseline"/>
                <w:lang w:val="en-US" w:eastAsia="zh-CN"/>
              </w:rPr>
              <w:t>串口扩展主机</w:t>
            </w:r>
          </w:p>
        </w:tc>
        <w:tc>
          <w:tcPr>
            <w:tcW w:w="5226" w:type="dxa"/>
          </w:tcPr>
          <w:p w14:paraId="4B22DB65">
            <w:pPr>
              <w:pStyle w:val="5"/>
              <w:widowControl w:val="0"/>
              <w:ind w:left="0" w:leftChars="0" w:firstLine="0" w:firstLineChars="0"/>
              <w:jc w:val="both"/>
              <w:rPr>
                <w:rFonts w:hint="eastAsia" w:ascii="Songti SC Regular" w:hAnsi="Songti SC Regular" w:eastAsia="Songti SC Regular" w:cs="Songti SC Regular"/>
                <w:color w:val="auto"/>
                <w:sz w:val="22"/>
                <w:szCs w:val="22"/>
                <w:highlight w:val="none"/>
                <w:vertAlign w:val="baseline"/>
              </w:rPr>
            </w:pPr>
            <w:r>
              <w:rPr>
                <w:rFonts w:hint="default" w:ascii="Calibri" w:hAnsi="Calibri" w:eastAsia="宋体" w:cs="Calibri"/>
                <w:i w:val="0"/>
                <w:iCs w:val="0"/>
                <w:color w:val="000000"/>
                <w:kern w:val="0"/>
                <w:sz w:val="18"/>
                <w:szCs w:val="18"/>
                <w:u w:val="none"/>
                <w:lang w:val="en-US" w:eastAsia="zh-CN" w:bidi="ar"/>
              </w:rPr>
              <w:t>1、32 位 RISC 指令集处理器，100MHZ 主频</w:t>
            </w:r>
            <w:r>
              <w:rPr>
                <w:rFonts w:hint="default" w:ascii="Calibri" w:hAnsi="Calibri" w:eastAsia="宋体" w:cs="Calibri"/>
                <w:i w:val="0"/>
                <w:iCs w:val="0"/>
                <w:color w:val="000000"/>
                <w:kern w:val="0"/>
                <w:sz w:val="18"/>
                <w:szCs w:val="18"/>
                <w:u w:val="none"/>
                <w:lang w:val="en-US" w:eastAsia="zh-CN" w:bidi="ar"/>
              </w:rPr>
              <w:br w:type="textWrapping"/>
            </w:r>
            <w:r>
              <w:rPr>
                <w:rFonts w:hint="default" w:ascii="Calibri" w:hAnsi="Calibri" w:eastAsia="宋体" w:cs="Calibri"/>
                <w:i w:val="0"/>
                <w:iCs w:val="0"/>
                <w:color w:val="000000"/>
                <w:kern w:val="0"/>
                <w:sz w:val="18"/>
                <w:szCs w:val="18"/>
                <w:u w:val="none"/>
                <w:lang w:val="en-US" w:eastAsia="zh-CN" w:bidi="ar"/>
              </w:rPr>
              <w:t>2、224K CODE FLASH、28K DATA FLASH、64K SRAM 进行数据缓存。</w:t>
            </w:r>
            <w:r>
              <w:rPr>
                <w:rFonts w:hint="default" w:ascii="Calibri" w:hAnsi="Calibri" w:eastAsia="宋体" w:cs="Calibri"/>
                <w:i w:val="0"/>
                <w:iCs w:val="0"/>
                <w:color w:val="000000"/>
                <w:kern w:val="0"/>
                <w:sz w:val="18"/>
                <w:szCs w:val="18"/>
                <w:u w:val="none"/>
                <w:lang w:val="en-US" w:eastAsia="zh-CN" w:bidi="ar"/>
              </w:rPr>
              <w:br w:type="textWrapping"/>
            </w:r>
            <w:r>
              <w:rPr>
                <w:rFonts w:hint="default" w:ascii="Calibri" w:hAnsi="Calibri" w:eastAsia="宋体" w:cs="Calibri"/>
                <w:i w:val="0"/>
                <w:iCs w:val="0"/>
                <w:color w:val="000000"/>
                <w:kern w:val="0"/>
                <w:sz w:val="18"/>
                <w:szCs w:val="18"/>
                <w:u w:val="none"/>
                <w:lang w:val="en-US" w:eastAsia="zh-CN" w:bidi="ar"/>
              </w:rPr>
              <w:t>3、100M 自适应网络接口，网口支持远程主动级联可编程中控。</w:t>
            </w:r>
          </w:p>
        </w:tc>
        <w:tc>
          <w:tcPr>
            <w:tcW w:w="1012" w:type="dxa"/>
            <w:vAlign w:val="center"/>
          </w:tcPr>
          <w:p w14:paraId="6BB1FA71">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Merge w:val="continue"/>
            <w:vAlign w:val="center"/>
          </w:tcPr>
          <w:p w14:paraId="04BA511B">
            <w:pPr>
              <w:pStyle w:val="5"/>
              <w:widowControl w:val="0"/>
              <w:jc w:val="both"/>
              <w:rPr>
                <w:rFonts w:hint="eastAsia" w:ascii="Calibri" w:hAnsi="Calibri" w:eastAsia="宋体" w:cs="Calibri"/>
                <w:i w:val="0"/>
                <w:iCs w:val="0"/>
                <w:color w:val="000000"/>
                <w:kern w:val="0"/>
                <w:sz w:val="18"/>
                <w:szCs w:val="18"/>
                <w:u w:val="none"/>
                <w:lang w:val="en-US" w:eastAsia="zh-CN" w:bidi="ar"/>
              </w:rPr>
            </w:pPr>
          </w:p>
        </w:tc>
      </w:tr>
      <w:tr w14:paraId="3D05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803" w:type="dxa"/>
            <w:vAlign w:val="center"/>
          </w:tcPr>
          <w:p w14:paraId="58062332">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default" w:ascii="Songti SC Regular" w:hAnsi="Songti SC Regular" w:eastAsia="Songti SC Regular" w:cs="Songti SC Regular"/>
                <w:color w:val="auto"/>
                <w:sz w:val="22"/>
                <w:szCs w:val="22"/>
                <w:highlight w:val="none"/>
                <w:vertAlign w:val="baseline"/>
                <w:lang w:val="en-US" w:eastAsia="zh-CN"/>
              </w:rPr>
              <w:t>编程调试</w:t>
            </w:r>
          </w:p>
        </w:tc>
        <w:tc>
          <w:tcPr>
            <w:tcW w:w="5226" w:type="dxa"/>
            <w:vAlign w:val="center"/>
          </w:tcPr>
          <w:p w14:paraId="5640CD24">
            <w:pPr>
              <w:keepNext w:val="0"/>
              <w:keepLines w:val="0"/>
              <w:widowControl/>
              <w:suppressLineNumbers w:val="0"/>
              <w:jc w:val="both"/>
              <w:textAlignment w:val="center"/>
              <w:rPr>
                <w:rFonts w:hint="eastAsia" w:ascii="Songti SC Regular" w:hAnsi="Songti SC Regular" w:eastAsia="Songti SC Regular" w:cs="Songti SC Regular"/>
                <w:color w:val="auto"/>
                <w:sz w:val="22"/>
                <w:szCs w:val="22"/>
                <w:highlight w:val="none"/>
                <w:vertAlign w:val="baseline"/>
              </w:rPr>
            </w:pPr>
            <w:r>
              <w:rPr>
                <w:rFonts w:hint="default" w:ascii="Calibri" w:hAnsi="Calibri" w:eastAsia="宋体" w:cs="Calibri"/>
                <w:i w:val="0"/>
                <w:iCs w:val="0"/>
                <w:color w:val="000000"/>
                <w:kern w:val="0"/>
                <w:sz w:val="18"/>
                <w:szCs w:val="18"/>
                <w:u w:val="none"/>
                <w:lang w:val="en-US" w:eastAsia="zh-CN" w:bidi="ar"/>
              </w:rPr>
              <w:t>现场编程调试</w:t>
            </w:r>
          </w:p>
        </w:tc>
        <w:tc>
          <w:tcPr>
            <w:tcW w:w="1012" w:type="dxa"/>
            <w:vAlign w:val="center"/>
          </w:tcPr>
          <w:p w14:paraId="4F9E9483">
            <w:pPr>
              <w:keepNext w:val="0"/>
              <w:keepLines w:val="0"/>
              <w:widowControl/>
              <w:suppressLineNumbers w:val="0"/>
              <w:jc w:val="both"/>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Merge w:val="continue"/>
            <w:vAlign w:val="center"/>
          </w:tcPr>
          <w:p w14:paraId="2856F3F6">
            <w:pPr>
              <w:keepNext w:val="0"/>
              <w:keepLines w:val="0"/>
              <w:widowControl/>
              <w:suppressLineNumbers w:val="0"/>
              <w:jc w:val="both"/>
              <w:textAlignment w:val="center"/>
              <w:rPr>
                <w:rFonts w:hint="eastAsia" w:ascii="Calibri" w:hAnsi="Calibri" w:eastAsia="宋体" w:cs="Calibri"/>
                <w:i w:val="0"/>
                <w:iCs w:val="0"/>
                <w:color w:val="000000"/>
                <w:kern w:val="0"/>
                <w:sz w:val="18"/>
                <w:szCs w:val="18"/>
                <w:u w:val="none"/>
                <w:lang w:val="en-US" w:eastAsia="zh-CN" w:bidi="ar"/>
              </w:rPr>
            </w:pPr>
          </w:p>
        </w:tc>
      </w:tr>
      <w:tr w14:paraId="7DC7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6083289B">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default" w:ascii="Songti SC Regular" w:hAnsi="Songti SC Regular" w:eastAsia="Songti SC Regular" w:cs="Songti SC Regular"/>
                <w:color w:val="auto"/>
                <w:sz w:val="22"/>
                <w:szCs w:val="22"/>
                <w:highlight w:val="none"/>
                <w:vertAlign w:val="baseline"/>
                <w:lang w:val="en-US" w:eastAsia="zh-CN"/>
              </w:rPr>
              <w:t>HDMI分配器</w:t>
            </w:r>
          </w:p>
        </w:tc>
        <w:tc>
          <w:tcPr>
            <w:tcW w:w="5226" w:type="dxa"/>
            <w:vAlign w:val="center"/>
          </w:tcPr>
          <w:p w14:paraId="0D26BDAB">
            <w:pPr>
              <w:keepNext w:val="0"/>
              <w:keepLines w:val="0"/>
              <w:widowControl/>
              <w:suppressLineNumbers w:val="0"/>
              <w:jc w:val="both"/>
              <w:textAlignment w:val="center"/>
              <w:rPr>
                <w:rFonts w:hint="eastAsia" w:ascii="Songti SC Regular" w:hAnsi="Songti SC Regular" w:eastAsia="Songti SC Regular" w:cs="Songti SC Regular"/>
                <w:color w:val="auto"/>
                <w:sz w:val="22"/>
                <w:szCs w:val="22"/>
                <w:highlight w:val="none"/>
                <w:vertAlign w:val="baseline"/>
              </w:rPr>
            </w:pPr>
            <w:r>
              <w:rPr>
                <w:rFonts w:hint="eastAsia" w:cs="Calibri"/>
                <w:i w:val="0"/>
                <w:iCs w:val="0"/>
                <w:color w:val="000000"/>
                <w:kern w:val="0"/>
                <w:sz w:val="18"/>
                <w:szCs w:val="18"/>
                <w:u w:val="none"/>
                <w:lang w:val="en-US" w:eastAsia="zh-CN" w:bidi="ar"/>
              </w:rPr>
              <w:t>1、</w:t>
            </w:r>
            <w:r>
              <w:rPr>
                <w:rFonts w:hint="default" w:ascii="Calibri" w:hAnsi="Calibri" w:eastAsia="宋体" w:cs="Calibri"/>
                <w:i w:val="0"/>
                <w:iCs w:val="0"/>
                <w:color w:val="000000"/>
                <w:kern w:val="0"/>
                <w:sz w:val="18"/>
                <w:szCs w:val="18"/>
                <w:u w:val="none"/>
                <w:lang w:val="en-US" w:eastAsia="zh-CN" w:bidi="ar"/>
              </w:rPr>
              <w:t>HDMI一进四出</w:t>
            </w:r>
            <w:r>
              <w:rPr>
                <w:rFonts w:hint="default" w:ascii="Calibri" w:hAnsi="Calibri" w:eastAsia="宋体" w:cs="Calibri"/>
                <w:i w:val="0"/>
                <w:iCs w:val="0"/>
                <w:color w:val="000000"/>
                <w:kern w:val="0"/>
                <w:sz w:val="18"/>
                <w:szCs w:val="18"/>
                <w:u w:val="none"/>
                <w:lang w:val="en-US" w:eastAsia="zh-CN" w:bidi="ar"/>
              </w:rPr>
              <w:br w:type="textWrapping"/>
            </w:r>
            <w:r>
              <w:rPr>
                <w:rFonts w:hint="eastAsia" w:cs="Calibri"/>
                <w:i w:val="0"/>
                <w:iCs w:val="0"/>
                <w:color w:val="000000"/>
                <w:kern w:val="0"/>
                <w:sz w:val="18"/>
                <w:szCs w:val="18"/>
                <w:u w:val="none"/>
                <w:lang w:val="en-US" w:eastAsia="zh-CN" w:bidi="ar"/>
              </w:rPr>
              <w:t>2、</w:t>
            </w:r>
            <w:r>
              <w:rPr>
                <w:rFonts w:hint="default" w:ascii="Calibri" w:hAnsi="Calibri" w:eastAsia="宋体" w:cs="Calibri"/>
                <w:i w:val="0"/>
                <w:iCs w:val="0"/>
                <w:color w:val="000000"/>
                <w:kern w:val="0"/>
                <w:sz w:val="18"/>
                <w:szCs w:val="18"/>
                <w:u w:val="none"/>
                <w:lang w:val="en-US" w:eastAsia="zh-CN" w:bidi="ar"/>
              </w:rPr>
              <w:t>分辨率：4K</w:t>
            </w:r>
            <w:r>
              <w:rPr>
                <w:rFonts w:hint="eastAsia" w:cs="Calibri"/>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刷新率：60HZ</w:t>
            </w:r>
            <w:r>
              <w:rPr>
                <w:rFonts w:hint="default" w:ascii="Calibri" w:hAnsi="Calibri" w:eastAsia="宋体" w:cs="Calibri"/>
                <w:i w:val="0"/>
                <w:iCs w:val="0"/>
                <w:color w:val="000000"/>
                <w:kern w:val="0"/>
                <w:sz w:val="18"/>
                <w:szCs w:val="18"/>
                <w:u w:val="none"/>
                <w:lang w:val="en-US" w:eastAsia="zh-CN" w:bidi="ar"/>
              </w:rPr>
              <w:br w:type="textWrapping"/>
            </w:r>
            <w:r>
              <w:rPr>
                <w:rFonts w:hint="eastAsia" w:cs="Calibri"/>
                <w:i w:val="0"/>
                <w:iCs w:val="0"/>
                <w:color w:val="000000"/>
                <w:kern w:val="0"/>
                <w:sz w:val="18"/>
                <w:szCs w:val="18"/>
                <w:u w:val="none"/>
                <w:lang w:val="en-US" w:eastAsia="zh-CN" w:bidi="ar"/>
              </w:rPr>
              <w:t>3、</w:t>
            </w:r>
            <w:r>
              <w:rPr>
                <w:rFonts w:hint="default" w:ascii="Calibri" w:hAnsi="Calibri" w:eastAsia="宋体" w:cs="Calibri"/>
                <w:i w:val="0"/>
                <w:iCs w:val="0"/>
                <w:color w:val="000000"/>
                <w:kern w:val="0"/>
                <w:sz w:val="18"/>
                <w:szCs w:val="18"/>
                <w:u w:val="none"/>
                <w:lang w:val="en-US" w:eastAsia="zh-CN" w:bidi="ar"/>
              </w:rPr>
              <w:t>输出接口：HDMI*4</w:t>
            </w:r>
            <w:r>
              <w:rPr>
                <w:rFonts w:hint="eastAsia" w:cs="Calibri"/>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输入接口：HDMi*1</w:t>
            </w:r>
            <w:r>
              <w:rPr>
                <w:rFonts w:hint="default" w:ascii="Calibri" w:hAnsi="Calibri" w:eastAsia="宋体" w:cs="Calibri"/>
                <w:i w:val="0"/>
                <w:iCs w:val="0"/>
                <w:color w:val="000000"/>
                <w:kern w:val="0"/>
                <w:sz w:val="18"/>
                <w:szCs w:val="18"/>
                <w:u w:val="none"/>
                <w:lang w:val="en-US" w:eastAsia="zh-CN" w:bidi="ar"/>
              </w:rPr>
              <w:br w:type="textWrapping"/>
            </w:r>
            <w:r>
              <w:rPr>
                <w:rFonts w:hint="eastAsia" w:cs="Calibri"/>
                <w:i w:val="0"/>
                <w:iCs w:val="0"/>
                <w:color w:val="000000"/>
                <w:kern w:val="0"/>
                <w:sz w:val="18"/>
                <w:szCs w:val="18"/>
                <w:u w:val="none"/>
                <w:lang w:val="en-US" w:eastAsia="zh-CN" w:bidi="ar"/>
              </w:rPr>
              <w:t>4、</w:t>
            </w:r>
            <w:r>
              <w:rPr>
                <w:rFonts w:hint="default" w:ascii="Calibri" w:hAnsi="Calibri" w:eastAsia="宋体" w:cs="Calibri"/>
                <w:i w:val="0"/>
                <w:iCs w:val="0"/>
                <w:color w:val="000000"/>
                <w:kern w:val="0"/>
                <w:sz w:val="18"/>
                <w:szCs w:val="18"/>
                <w:u w:val="none"/>
                <w:lang w:val="en-US" w:eastAsia="zh-CN" w:bidi="ar"/>
              </w:rPr>
              <w:t>接口材质：镀镍</w:t>
            </w:r>
            <w:r>
              <w:rPr>
                <w:rFonts w:hint="eastAsia" w:cs="Calibri"/>
                <w:i w:val="0"/>
                <w:iCs w:val="0"/>
                <w:color w:val="000000"/>
                <w:kern w:val="0"/>
                <w:sz w:val="18"/>
                <w:szCs w:val="18"/>
                <w:u w:val="none"/>
                <w:lang w:val="en-US" w:eastAsia="zh-CN" w:bidi="ar"/>
              </w:rPr>
              <w:t>，</w:t>
            </w:r>
            <w:r>
              <w:rPr>
                <w:rFonts w:hint="default" w:ascii="Calibri" w:hAnsi="Calibri" w:eastAsia="宋体" w:cs="Calibri"/>
                <w:i w:val="0"/>
                <w:iCs w:val="0"/>
                <w:color w:val="000000"/>
                <w:kern w:val="0"/>
                <w:sz w:val="18"/>
                <w:szCs w:val="18"/>
                <w:u w:val="none"/>
                <w:lang w:val="en-US" w:eastAsia="zh-CN" w:bidi="ar"/>
              </w:rPr>
              <w:t>供电接口：DC5V-1A</w:t>
            </w:r>
          </w:p>
        </w:tc>
        <w:tc>
          <w:tcPr>
            <w:tcW w:w="1012" w:type="dxa"/>
            <w:vAlign w:val="center"/>
          </w:tcPr>
          <w:p w14:paraId="7A97823A">
            <w:pPr>
              <w:keepNext w:val="0"/>
              <w:keepLines w:val="0"/>
              <w:widowControl/>
              <w:suppressLineNumbers w:val="0"/>
              <w:jc w:val="both"/>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Merge w:val="continue"/>
            <w:vAlign w:val="center"/>
          </w:tcPr>
          <w:p w14:paraId="2E8068C6">
            <w:pPr>
              <w:keepNext w:val="0"/>
              <w:keepLines w:val="0"/>
              <w:widowControl/>
              <w:suppressLineNumbers w:val="0"/>
              <w:jc w:val="both"/>
              <w:textAlignment w:val="center"/>
              <w:rPr>
                <w:rFonts w:hint="eastAsia" w:ascii="Calibri" w:hAnsi="Calibri" w:eastAsia="宋体" w:cs="Calibri"/>
                <w:i w:val="0"/>
                <w:iCs w:val="0"/>
                <w:color w:val="000000"/>
                <w:kern w:val="0"/>
                <w:sz w:val="18"/>
                <w:szCs w:val="18"/>
                <w:u w:val="none"/>
                <w:lang w:val="en-US" w:eastAsia="zh-CN" w:bidi="ar"/>
              </w:rPr>
            </w:pPr>
          </w:p>
        </w:tc>
      </w:tr>
      <w:tr w14:paraId="57C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0EA9A23F">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default" w:ascii="Songti SC Regular" w:hAnsi="Songti SC Regular" w:eastAsia="Songti SC Regular" w:cs="Songti SC Regular"/>
                <w:color w:val="auto"/>
                <w:sz w:val="22"/>
                <w:szCs w:val="22"/>
                <w:highlight w:val="none"/>
                <w:vertAlign w:val="baseline"/>
                <w:lang w:val="en-US" w:eastAsia="zh-CN"/>
              </w:rPr>
              <w:t>12U机柜</w:t>
            </w:r>
          </w:p>
        </w:tc>
        <w:tc>
          <w:tcPr>
            <w:tcW w:w="5226" w:type="dxa"/>
            <w:vAlign w:val="center"/>
          </w:tcPr>
          <w:p w14:paraId="6625462C">
            <w:pPr>
              <w:keepNext w:val="0"/>
              <w:keepLines w:val="0"/>
              <w:widowControl/>
              <w:suppressLineNumbers w:val="0"/>
              <w:jc w:val="both"/>
              <w:textAlignment w:val="center"/>
              <w:rPr>
                <w:rFonts w:hint="eastAsia" w:ascii="Songti SC Regular" w:hAnsi="Songti SC Regular" w:eastAsia="Songti SC Regular" w:cs="Songti SC Regular"/>
                <w:color w:val="auto"/>
                <w:sz w:val="22"/>
                <w:szCs w:val="22"/>
                <w:highlight w:val="none"/>
                <w:vertAlign w:val="baseline"/>
              </w:rPr>
            </w:pPr>
            <w:r>
              <w:rPr>
                <w:rFonts w:hint="default" w:ascii="Calibri" w:hAnsi="Calibri" w:eastAsia="宋体" w:cs="Calibri"/>
                <w:i w:val="0"/>
                <w:iCs w:val="0"/>
                <w:color w:val="000000"/>
                <w:kern w:val="0"/>
                <w:sz w:val="18"/>
                <w:szCs w:val="18"/>
                <w:u w:val="none"/>
                <w:lang w:val="en-US" w:eastAsia="zh-CN" w:bidi="ar"/>
              </w:rPr>
              <w:t>宽600mm*深600mm*高721mm，玻璃门壁挂机柜，10套螺丝</w:t>
            </w:r>
          </w:p>
        </w:tc>
        <w:tc>
          <w:tcPr>
            <w:tcW w:w="1012" w:type="dxa"/>
            <w:vAlign w:val="center"/>
          </w:tcPr>
          <w:p w14:paraId="42ECC4C8">
            <w:pPr>
              <w:keepNext w:val="0"/>
              <w:keepLines w:val="0"/>
              <w:widowControl/>
              <w:suppressLineNumbers w:val="0"/>
              <w:jc w:val="both"/>
              <w:textAlignment w:val="center"/>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Merge w:val="continue"/>
            <w:vAlign w:val="center"/>
          </w:tcPr>
          <w:p w14:paraId="66BD8050">
            <w:pPr>
              <w:keepNext w:val="0"/>
              <w:keepLines w:val="0"/>
              <w:widowControl/>
              <w:suppressLineNumbers w:val="0"/>
              <w:jc w:val="both"/>
              <w:textAlignment w:val="center"/>
              <w:rPr>
                <w:rFonts w:hint="eastAsia" w:ascii="Calibri" w:hAnsi="Calibri" w:eastAsia="宋体" w:cs="Calibri"/>
                <w:i w:val="0"/>
                <w:iCs w:val="0"/>
                <w:color w:val="000000"/>
                <w:kern w:val="0"/>
                <w:sz w:val="18"/>
                <w:szCs w:val="18"/>
                <w:u w:val="none"/>
                <w:lang w:val="en-US" w:eastAsia="zh-CN" w:bidi="ar"/>
              </w:rPr>
            </w:pPr>
          </w:p>
        </w:tc>
      </w:tr>
      <w:tr w14:paraId="7A23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3" w:type="dxa"/>
            <w:vAlign w:val="center"/>
          </w:tcPr>
          <w:p w14:paraId="7C665B0D">
            <w:pPr>
              <w:pStyle w:val="5"/>
              <w:widowControl w:val="0"/>
              <w:jc w:val="left"/>
              <w:rPr>
                <w:rFonts w:hint="default" w:ascii="Songti SC Regular" w:hAnsi="Songti SC Regular" w:eastAsia="Songti SC Regular" w:cs="Songti SC Regular"/>
                <w:color w:val="auto"/>
                <w:sz w:val="22"/>
                <w:szCs w:val="22"/>
                <w:highlight w:val="none"/>
                <w:vertAlign w:val="baseline"/>
                <w:lang w:val="en-US" w:eastAsia="zh-CN"/>
              </w:rPr>
            </w:pPr>
            <w:r>
              <w:rPr>
                <w:rFonts w:hint="eastAsia" w:ascii="Songti SC Regular" w:hAnsi="Songti SC Regular" w:eastAsia="Songti SC Regular" w:cs="Songti SC Regular"/>
                <w:color w:val="auto"/>
                <w:sz w:val="22"/>
                <w:szCs w:val="22"/>
                <w:highlight w:val="none"/>
                <w:vertAlign w:val="baseline"/>
                <w:lang w:val="en-US" w:eastAsia="zh-CN"/>
              </w:rPr>
              <w:t>设备安装与调试服务</w:t>
            </w:r>
          </w:p>
        </w:tc>
        <w:tc>
          <w:tcPr>
            <w:tcW w:w="5226" w:type="dxa"/>
          </w:tcPr>
          <w:p w14:paraId="6BD014FE">
            <w:pPr>
              <w:pStyle w:val="5"/>
              <w:widowControl w:val="0"/>
              <w:jc w:val="both"/>
              <w:rPr>
                <w:rFonts w:hint="eastAsia" w:ascii="Songti SC Regular" w:hAnsi="Songti SC Regular" w:eastAsia="Songti SC Regular" w:cs="Songti SC Regular"/>
                <w:color w:val="auto"/>
                <w:sz w:val="22"/>
                <w:szCs w:val="22"/>
                <w:highlight w:val="none"/>
                <w:vertAlign w:val="baseline"/>
              </w:rPr>
            </w:pPr>
            <w:r>
              <w:rPr>
                <w:rFonts w:hint="default" w:ascii="Calibri" w:hAnsi="Calibri" w:eastAsia="宋体" w:cs="Calibri"/>
                <w:i w:val="0"/>
                <w:iCs w:val="0"/>
                <w:color w:val="000000"/>
                <w:kern w:val="0"/>
                <w:sz w:val="18"/>
                <w:szCs w:val="18"/>
                <w:u w:val="none"/>
                <w:lang w:val="en-US" w:eastAsia="zh-CN" w:bidi="ar"/>
              </w:rPr>
              <w:t>包括现场施工环境确认、设备安装、调试、走线，含线缆、支架、线槽、配套工具等辅材，含各软件安装调试、整体效果测试、培训等技术服务。（不含设备拆旧）</w:t>
            </w:r>
          </w:p>
        </w:tc>
        <w:tc>
          <w:tcPr>
            <w:tcW w:w="1012" w:type="dxa"/>
            <w:vAlign w:val="center"/>
          </w:tcPr>
          <w:p w14:paraId="5346DD4D">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Calibri" w:hAnsi="Calibri" w:eastAsia="宋体" w:cs="Calibri"/>
                <w:i w:val="0"/>
                <w:iCs w:val="0"/>
                <w:color w:val="000000"/>
                <w:kern w:val="0"/>
                <w:sz w:val="18"/>
                <w:szCs w:val="18"/>
                <w:u w:val="none"/>
                <w:lang w:val="en-US" w:eastAsia="zh-CN" w:bidi="ar"/>
              </w:rPr>
              <w:t>1</w:t>
            </w:r>
          </w:p>
        </w:tc>
        <w:tc>
          <w:tcPr>
            <w:tcW w:w="1170" w:type="dxa"/>
            <w:vAlign w:val="center"/>
          </w:tcPr>
          <w:p w14:paraId="062A0019">
            <w:pPr>
              <w:pStyle w:val="5"/>
              <w:widowControl w:val="0"/>
              <w:jc w:val="both"/>
              <w:rPr>
                <w:rFonts w:hint="default" w:ascii="Calibri" w:hAnsi="Calibri" w:eastAsia="宋体" w:cs="Calibri"/>
                <w:i w:val="0"/>
                <w:iCs w:val="0"/>
                <w:color w:val="000000"/>
                <w:kern w:val="0"/>
                <w:sz w:val="18"/>
                <w:szCs w:val="18"/>
                <w:u w:val="none"/>
                <w:lang w:val="en-US" w:eastAsia="zh-CN" w:bidi="ar"/>
              </w:rPr>
            </w:pPr>
            <w:r>
              <w:rPr>
                <w:rFonts w:hint="eastAsia" w:ascii="Songti SC Regular" w:hAnsi="Songti SC Regular" w:eastAsia="Songti SC Regular" w:cs="Songti SC Regular"/>
                <w:color w:val="auto"/>
                <w:sz w:val="22"/>
                <w:szCs w:val="22"/>
                <w:highlight w:val="none"/>
                <w:vertAlign w:val="baseline"/>
                <w:lang w:val="en-US" w:eastAsia="zh-CN"/>
              </w:rPr>
              <w:t>定制化安装</w:t>
            </w:r>
          </w:p>
        </w:tc>
      </w:tr>
    </w:tbl>
    <w:p w14:paraId="09CC9F26">
      <w:pPr>
        <w:pStyle w:val="16"/>
        <w:spacing w:line="360" w:lineRule="auto"/>
        <w:ind w:firstLine="420" w:firstLineChars="0"/>
        <w:jc w:val="left"/>
        <w:rPr>
          <w:rFonts w:asciiTheme="minorEastAsia" w:hAnsiTheme="minorEastAsia" w:eastAsiaTheme="minorEastAsia"/>
          <w:sz w:val="24"/>
          <w:szCs w:val="24"/>
        </w:rPr>
      </w:pPr>
    </w:p>
    <w:p w14:paraId="32879A7E">
      <w:pPr>
        <w:pStyle w:val="16"/>
        <w:numPr>
          <w:ilvl w:val="0"/>
          <w:numId w:val="5"/>
        </w:numPr>
        <w:spacing w:line="360" w:lineRule="auto"/>
        <w:ind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家电</w:t>
      </w:r>
      <w:r>
        <w:rPr>
          <w:rFonts w:asciiTheme="minorEastAsia" w:hAnsiTheme="minorEastAsia" w:eastAsiaTheme="minorEastAsia"/>
          <w:sz w:val="24"/>
          <w:szCs w:val="24"/>
        </w:rPr>
        <w:t>部分</w:t>
      </w:r>
    </w:p>
    <w:p w14:paraId="173EB568">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无</w:t>
      </w:r>
    </w:p>
    <w:p w14:paraId="5BC22441">
      <w:pPr>
        <w:pStyle w:val="16"/>
        <w:numPr>
          <w:ilvl w:val="0"/>
          <w:numId w:val="5"/>
        </w:numPr>
        <w:spacing w:line="360" w:lineRule="auto"/>
        <w:ind w:firstLineChars="0"/>
        <w:jc w:val="left"/>
        <w:rPr>
          <w:rFonts w:asciiTheme="minorEastAsia" w:hAnsiTheme="minorEastAsia" w:eastAsiaTheme="minorEastAsia"/>
          <w:sz w:val="24"/>
          <w:szCs w:val="24"/>
        </w:rPr>
      </w:pPr>
      <w:r>
        <w:rPr>
          <w:rFonts w:asciiTheme="minorEastAsia" w:hAnsiTheme="minorEastAsia" w:eastAsiaTheme="minorEastAsia"/>
          <w:sz w:val="24"/>
          <w:szCs w:val="24"/>
        </w:rPr>
        <w:t>其他（如布线等设备安装工程）【本部分以最终审计结果为准】</w:t>
      </w:r>
    </w:p>
    <w:p w14:paraId="02117C81">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无</w:t>
      </w:r>
    </w:p>
    <w:p w14:paraId="6F97A673">
      <w:pPr>
        <w:spacing w:line="360" w:lineRule="auto"/>
        <w:jc w:val="left"/>
        <w:rPr>
          <w:rFonts w:hint="eastAsia" w:asciiTheme="minorEastAsia" w:hAnsiTheme="minorEastAsia" w:eastAsiaTheme="minorEastAsia"/>
          <w:sz w:val="24"/>
          <w:szCs w:val="24"/>
        </w:rPr>
      </w:pPr>
    </w:p>
    <w:p w14:paraId="3DD1B540">
      <w:pPr>
        <w:pStyle w:val="5"/>
        <w:numPr>
          <w:ilvl w:val="0"/>
          <w:numId w:val="2"/>
        </w:numPr>
        <w:spacing w:line="360" w:lineRule="auto"/>
        <w:rPr>
          <w:rFonts w:cs="黑体"/>
          <w:b/>
        </w:rPr>
      </w:pPr>
      <w:r>
        <w:rPr>
          <w:rFonts w:cs="黑体"/>
          <w:b/>
        </w:rPr>
        <w:t>支付及报价要求</w:t>
      </w:r>
    </w:p>
    <w:tbl>
      <w:tblPr>
        <w:tblStyle w:val="11"/>
        <w:tblW w:w="8973" w:type="dxa"/>
        <w:tblInd w:w="153" w:type="dxa"/>
        <w:tblLayout w:type="fixed"/>
        <w:tblCellMar>
          <w:top w:w="0" w:type="dxa"/>
          <w:left w:w="0" w:type="dxa"/>
          <w:bottom w:w="0" w:type="dxa"/>
          <w:right w:w="0" w:type="dxa"/>
        </w:tblCellMar>
      </w:tblPr>
      <w:tblGrid>
        <w:gridCol w:w="674"/>
        <w:gridCol w:w="1277"/>
        <w:gridCol w:w="7022"/>
      </w:tblGrid>
      <w:tr w14:paraId="0B861E4A">
        <w:tblPrEx>
          <w:tblCellMar>
            <w:top w:w="0" w:type="dxa"/>
            <w:left w:w="0" w:type="dxa"/>
            <w:bottom w:w="0" w:type="dxa"/>
            <w:right w:w="0" w:type="dxa"/>
          </w:tblCellMar>
        </w:tblPrEx>
        <w:trPr>
          <w:trHeight w:val="401" w:hRule="exact"/>
        </w:trPr>
        <w:tc>
          <w:tcPr>
            <w:tcW w:w="674" w:type="dxa"/>
            <w:tcBorders>
              <w:top w:val="single" w:color="000000" w:sz="4" w:space="0"/>
              <w:left w:val="single" w:color="000000" w:sz="4" w:space="0"/>
              <w:bottom w:val="single" w:color="000000" w:sz="4" w:space="0"/>
              <w:right w:val="single" w:color="000000" w:sz="4" w:space="0"/>
            </w:tcBorders>
            <w:vAlign w:val="center"/>
          </w:tcPr>
          <w:p w14:paraId="312329A0">
            <w:pPr>
              <w:pStyle w:val="17"/>
              <w:spacing w:before="57"/>
              <w:ind w:left="122"/>
              <w:rPr>
                <w:rFonts w:ascii="宋体" w:hAnsi="宋体" w:eastAsia="宋体" w:cs="宋体"/>
                <w:sz w:val="21"/>
                <w:szCs w:val="21"/>
              </w:rPr>
            </w:pPr>
            <w:r>
              <w:rPr>
                <w:rFonts w:ascii="宋体" w:hAnsi="宋体" w:eastAsia="宋体" w:cs="宋体"/>
                <w:b/>
                <w:bCs/>
                <w:sz w:val="21"/>
                <w:szCs w:val="21"/>
              </w:rPr>
              <w:t>序号</w:t>
            </w:r>
          </w:p>
        </w:tc>
        <w:tc>
          <w:tcPr>
            <w:tcW w:w="8299" w:type="dxa"/>
            <w:gridSpan w:val="2"/>
            <w:tcBorders>
              <w:top w:val="single" w:color="000000" w:sz="4" w:space="0"/>
              <w:left w:val="single" w:color="000000" w:sz="4" w:space="0"/>
              <w:bottom w:val="single" w:color="000000" w:sz="4" w:space="0"/>
              <w:right w:val="single" w:color="000000" w:sz="4" w:space="0"/>
            </w:tcBorders>
            <w:vAlign w:val="center"/>
          </w:tcPr>
          <w:p w14:paraId="2D009CA5">
            <w:pPr>
              <w:pStyle w:val="17"/>
              <w:spacing w:before="57"/>
              <w:ind w:left="102"/>
              <w:rPr>
                <w:rFonts w:ascii="宋体" w:hAnsi="宋体" w:eastAsia="宋体" w:cs="宋体"/>
                <w:sz w:val="21"/>
                <w:szCs w:val="21"/>
                <w:lang w:eastAsia="zh-CN"/>
              </w:rPr>
            </w:pPr>
            <w:r>
              <w:rPr>
                <w:rFonts w:ascii="宋体" w:hAnsi="宋体" w:eastAsia="宋体" w:cs="宋体"/>
                <w:b/>
                <w:bCs/>
                <w:sz w:val="21"/>
                <w:szCs w:val="21"/>
              </w:rPr>
              <w:t>支付及报价要求</w:t>
            </w:r>
          </w:p>
        </w:tc>
      </w:tr>
      <w:tr w14:paraId="67B4A7A0">
        <w:tblPrEx>
          <w:tblCellMar>
            <w:top w:w="0" w:type="dxa"/>
            <w:left w:w="0" w:type="dxa"/>
            <w:bottom w:w="0" w:type="dxa"/>
            <w:right w:w="0" w:type="dxa"/>
          </w:tblCellMar>
        </w:tblPrEx>
        <w:trPr>
          <w:trHeight w:val="2279" w:hRule="exact"/>
        </w:trPr>
        <w:tc>
          <w:tcPr>
            <w:tcW w:w="674" w:type="dxa"/>
            <w:tcBorders>
              <w:top w:val="single" w:color="000000" w:sz="4" w:space="0"/>
              <w:left w:val="single" w:color="000000" w:sz="4" w:space="0"/>
              <w:bottom w:val="single" w:color="000000" w:sz="4" w:space="0"/>
              <w:right w:val="single" w:color="000000" w:sz="4" w:space="0"/>
            </w:tcBorders>
            <w:vAlign w:val="center"/>
          </w:tcPr>
          <w:p w14:paraId="3344C723">
            <w:pPr>
              <w:pStyle w:val="17"/>
              <w:spacing w:before="155"/>
              <w:rPr>
                <w:rFonts w:ascii="宋体" w:hAnsi="宋体" w:eastAsia="宋体" w:cs="宋体"/>
                <w:sz w:val="21"/>
                <w:szCs w:val="21"/>
              </w:rPr>
            </w:pPr>
            <w:r>
              <w:rPr>
                <w:rFonts w:ascii="宋体"/>
                <w:sz w:val="21"/>
              </w:rPr>
              <w:t>1</w:t>
            </w:r>
          </w:p>
        </w:tc>
        <w:tc>
          <w:tcPr>
            <w:tcW w:w="1277" w:type="dxa"/>
            <w:tcBorders>
              <w:top w:val="single" w:color="000000" w:sz="4" w:space="0"/>
              <w:left w:val="single" w:color="000000" w:sz="4" w:space="0"/>
              <w:bottom w:val="single" w:color="000000" w:sz="4" w:space="0"/>
              <w:right w:val="single" w:color="000000" w:sz="4" w:space="0"/>
            </w:tcBorders>
            <w:vAlign w:val="center"/>
          </w:tcPr>
          <w:p w14:paraId="709863C7">
            <w:pPr>
              <w:pStyle w:val="17"/>
              <w:spacing w:before="155"/>
              <w:rPr>
                <w:rFonts w:ascii="宋体" w:hAnsi="宋体" w:eastAsia="宋体" w:cs="宋体"/>
                <w:sz w:val="21"/>
                <w:szCs w:val="21"/>
              </w:rPr>
            </w:pPr>
            <w:r>
              <w:rPr>
                <w:rFonts w:ascii="宋体" w:hAnsi="宋体" w:eastAsia="宋体" w:cs="宋体"/>
                <w:sz w:val="21"/>
                <w:szCs w:val="21"/>
              </w:rPr>
              <w:t>支付要求</w:t>
            </w:r>
          </w:p>
        </w:tc>
        <w:tc>
          <w:tcPr>
            <w:tcW w:w="7022" w:type="dxa"/>
            <w:tcBorders>
              <w:top w:val="single" w:color="000000" w:sz="4" w:space="0"/>
              <w:left w:val="single" w:color="000000" w:sz="4" w:space="0"/>
              <w:bottom w:val="single" w:color="000000" w:sz="4" w:space="0"/>
              <w:right w:val="single" w:color="000000" w:sz="4" w:space="0"/>
            </w:tcBorders>
            <w:vAlign w:val="center"/>
          </w:tcPr>
          <w:p w14:paraId="2138AFDF">
            <w:pPr>
              <w:pStyle w:val="17"/>
              <w:spacing w:before="57"/>
              <w:ind w:right="96"/>
              <w:rPr>
                <w:rFonts w:ascii="宋体" w:hAnsi="宋体" w:eastAsia="宋体" w:cs="宋体"/>
                <w:spacing w:val="-1"/>
                <w:sz w:val="21"/>
                <w:szCs w:val="21"/>
                <w:lang w:eastAsia="zh-CN"/>
              </w:rPr>
            </w:pPr>
            <w:r>
              <w:rPr>
                <w:rFonts w:hint="eastAsia" w:ascii="宋体" w:hAnsi="宋体" w:eastAsia="宋体" w:cs="宋体"/>
                <w:spacing w:val="-1"/>
                <w:sz w:val="21"/>
                <w:szCs w:val="21"/>
                <w:lang w:eastAsia="zh-CN"/>
              </w:rPr>
              <w:t>第一期付款：该笔付款为合同价款的</w:t>
            </w: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lang w:eastAsia="zh-CN"/>
              </w:rPr>
              <w:t>0%（百分之肆拾），合同生效之日起15（拾伍）个工作日内甲方向乙方支付。</w:t>
            </w:r>
          </w:p>
          <w:p w14:paraId="56DFEDDA">
            <w:pPr>
              <w:pStyle w:val="17"/>
              <w:spacing w:before="57"/>
              <w:ind w:right="96"/>
              <w:rPr>
                <w:rFonts w:ascii="宋体" w:hAnsi="宋体" w:eastAsia="宋体" w:cs="宋体"/>
                <w:sz w:val="21"/>
                <w:szCs w:val="21"/>
                <w:lang w:eastAsia="zh-CN"/>
              </w:rPr>
            </w:pPr>
            <w:r>
              <w:rPr>
                <w:rFonts w:hint="eastAsia" w:ascii="宋体" w:hAnsi="宋体" w:eastAsia="宋体" w:cs="宋体"/>
                <w:spacing w:val="-1"/>
                <w:sz w:val="21"/>
                <w:szCs w:val="21"/>
                <w:lang w:eastAsia="zh-CN"/>
              </w:rPr>
              <w:t>第二期付款：该笔付款为合同价款的</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0%（百分之叁拾），设备到货清点完毕后15（拾伍）个工作日内甲方向乙方支付。</w:t>
            </w:r>
          </w:p>
        </w:tc>
      </w:tr>
      <w:tr w14:paraId="646AA246">
        <w:tblPrEx>
          <w:tblCellMar>
            <w:top w:w="0" w:type="dxa"/>
            <w:left w:w="0" w:type="dxa"/>
            <w:bottom w:w="0" w:type="dxa"/>
            <w:right w:w="0" w:type="dxa"/>
          </w:tblCellMar>
        </w:tblPrEx>
        <w:trPr>
          <w:trHeight w:val="2249" w:hRule="exact"/>
        </w:trPr>
        <w:tc>
          <w:tcPr>
            <w:tcW w:w="674" w:type="dxa"/>
            <w:tcBorders>
              <w:top w:val="single" w:color="000000" w:sz="4" w:space="0"/>
              <w:left w:val="single" w:color="000000" w:sz="4" w:space="0"/>
              <w:bottom w:val="single" w:color="000000" w:sz="4" w:space="0"/>
              <w:right w:val="single" w:color="000000" w:sz="4" w:space="0"/>
            </w:tcBorders>
            <w:vAlign w:val="center"/>
          </w:tcPr>
          <w:p w14:paraId="188F8064">
            <w:pPr>
              <w:pStyle w:val="17"/>
              <w:rPr>
                <w:rFonts w:ascii="宋体" w:hAnsi="宋体" w:eastAsia="宋体" w:cs="宋体"/>
                <w:sz w:val="21"/>
                <w:szCs w:val="21"/>
              </w:rPr>
            </w:pPr>
            <w:r>
              <w:rPr>
                <w:rFonts w:ascii="宋体"/>
                <w:sz w:val="21"/>
              </w:rPr>
              <w:t>2</w:t>
            </w:r>
          </w:p>
        </w:tc>
        <w:tc>
          <w:tcPr>
            <w:tcW w:w="1277" w:type="dxa"/>
            <w:tcBorders>
              <w:top w:val="single" w:color="000000" w:sz="4" w:space="0"/>
              <w:left w:val="single" w:color="000000" w:sz="4" w:space="0"/>
              <w:bottom w:val="single" w:color="000000" w:sz="4" w:space="0"/>
              <w:right w:val="single" w:color="000000" w:sz="4" w:space="0"/>
            </w:tcBorders>
            <w:vAlign w:val="center"/>
          </w:tcPr>
          <w:p w14:paraId="543D38F2">
            <w:pPr>
              <w:pStyle w:val="17"/>
              <w:rPr>
                <w:rFonts w:ascii="宋体" w:hAnsi="宋体" w:eastAsia="宋体" w:cs="宋体"/>
                <w:sz w:val="21"/>
                <w:szCs w:val="21"/>
              </w:rPr>
            </w:pPr>
            <w:r>
              <w:rPr>
                <w:rFonts w:ascii="宋体" w:hAnsi="宋体" w:eastAsia="宋体" w:cs="宋体"/>
                <w:sz w:val="21"/>
                <w:szCs w:val="21"/>
              </w:rPr>
              <w:t>报价要求</w:t>
            </w:r>
          </w:p>
        </w:tc>
        <w:tc>
          <w:tcPr>
            <w:tcW w:w="7022" w:type="dxa"/>
            <w:tcBorders>
              <w:top w:val="single" w:color="000000" w:sz="4" w:space="0"/>
              <w:left w:val="single" w:color="000000" w:sz="4" w:space="0"/>
              <w:bottom w:val="single" w:color="000000" w:sz="4" w:space="0"/>
              <w:right w:val="single" w:color="000000" w:sz="4" w:space="0"/>
            </w:tcBorders>
            <w:vAlign w:val="center"/>
          </w:tcPr>
          <w:p w14:paraId="4BBE73BB">
            <w:pPr>
              <w:pStyle w:val="17"/>
              <w:spacing w:before="59"/>
              <w:ind w:right="-7"/>
              <w:rPr>
                <w:rFonts w:ascii="宋体" w:hAnsi="宋体" w:eastAsia="宋体" w:cs="宋体"/>
                <w:sz w:val="21"/>
                <w:szCs w:val="21"/>
                <w:lang w:eastAsia="zh-CN"/>
              </w:rPr>
            </w:pPr>
            <w:r>
              <w:rPr>
                <w:rFonts w:ascii="宋体" w:hAnsi="宋体" w:eastAsia="宋体" w:cs="宋体"/>
                <w:sz w:val="21"/>
                <w:szCs w:val="21"/>
                <w:lang w:eastAsia="zh-CN"/>
              </w:rPr>
              <w:t>报价要求：须按照报价表内要求报价，明确明细价及总价。人工费、安装</w:t>
            </w:r>
            <w:r>
              <w:rPr>
                <w:rFonts w:ascii="宋体" w:hAnsi="宋体" w:eastAsia="宋体" w:cs="宋体"/>
                <w:spacing w:val="-92"/>
                <w:sz w:val="21"/>
                <w:szCs w:val="21"/>
                <w:lang w:eastAsia="zh-CN"/>
              </w:rPr>
              <w:t xml:space="preserve"> </w:t>
            </w:r>
            <w:r>
              <w:rPr>
                <w:rFonts w:ascii="宋体" w:hAnsi="宋体" w:eastAsia="宋体" w:cs="宋体"/>
                <w:sz w:val="21"/>
                <w:szCs w:val="21"/>
                <w:lang w:eastAsia="zh-CN"/>
              </w:rPr>
              <w:t>调试费、税费及所产生的配套设备和配件费用等所有</w:t>
            </w:r>
            <w:r>
              <w:rPr>
                <w:rFonts w:ascii="宋体" w:hAnsi="宋体" w:eastAsia="宋体" w:cs="宋体"/>
                <w:spacing w:val="-92"/>
                <w:sz w:val="21"/>
                <w:szCs w:val="21"/>
                <w:lang w:eastAsia="zh-CN"/>
              </w:rPr>
              <w:t xml:space="preserve"> </w:t>
            </w:r>
            <w:r>
              <w:rPr>
                <w:rFonts w:ascii="宋体" w:hAnsi="宋体" w:eastAsia="宋体" w:cs="宋体"/>
                <w:sz w:val="21"/>
                <w:szCs w:val="21"/>
                <w:lang w:eastAsia="zh-CN"/>
              </w:rPr>
              <w:t>费用均应包含在本次项目的报价当中。不得以其他任何理由提出中</w:t>
            </w:r>
            <w:r>
              <w:rPr>
                <w:rFonts w:ascii="宋体" w:hAnsi="宋体" w:eastAsia="宋体" w:cs="宋体"/>
                <w:spacing w:val="-92"/>
                <w:sz w:val="21"/>
                <w:szCs w:val="21"/>
                <w:lang w:eastAsia="zh-CN"/>
              </w:rPr>
              <w:t xml:space="preserve"> </w:t>
            </w:r>
            <w:r>
              <w:rPr>
                <w:rFonts w:ascii="宋体" w:hAnsi="宋体" w:eastAsia="宋体" w:cs="宋体"/>
                <w:sz w:val="21"/>
                <w:szCs w:val="21"/>
                <w:lang w:eastAsia="zh-CN"/>
              </w:rPr>
              <w:t xml:space="preserve">标金额以外的其他费用要求。 </w:t>
            </w:r>
          </w:p>
        </w:tc>
      </w:tr>
    </w:tbl>
    <w:p w14:paraId="69E0535C">
      <w:pPr>
        <w:pStyle w:val="5"/>
        <w:numPr>
          <w:ilvl w:val="0"/>
          <w:numId w:val="2"/>
        </w:numPr>
        <w:rPr>
          <w:rFonts w:cs="黑体"/>
          <w:b/>
        </w:rPr>
      </w:pPr>
      <w:r>
        <w:rPr>
          <w:rFonts w:cs="黑体"/>
          <w:b/>
        </w:rPr>
        <w:t>售后服务</w:t>
      </w:r>
    </w:p>
    <w:tbl>
      <w:tblPr>
        <w:tblStyle w:val="11"/>
        <w:tblW w:w="9014" w:type="dxa"/>
        <w:tblInd w:w="119" w:type="dxa"/>
        <w:tblLayout w:type="fixed"/>
        <w:tblCellMar>
          <w:top w:w="0" w:type="dxa"/>
          <w:left w:w="0" w:type="dxa"/>
          <w:bottom w:w="0" w:type="dxa"/>
          <w:right w:w="0" w:type="dxa"/>
        </w:tblCellMar>
      </w:tblPr>
      <w:tblGrid>
        <w:gridCol w:w="706"/>
        <w:gridCol w:w="1421"/>
        <w:gridCol w:w="6887"/>
      </w:tblGrid>
      <w:tr w14:paraId="428DA635">
        <w:tblPrEx>
          <w:tblCellMar>
            <w:top w:w="0" w:type="dxa"/>
            <w:left w:w="0" w:type="dxa"/>
            <w:bottom w:w="0" w:type="dxa"/>
            <w:right w:w="0" w:type="dxa"/>
          </w:tblCellMar>
        </w:tblPrEx>
        <w:trPr>
          <w:trHeight w:val="370" w:hRule="exact"/>
        </w:trPr>
        <w:tc>
          <w:tcPr>
            <w:tcW w:w="706" w:type="dxa"/>
            <w:tcBorders>
              <w:top w:val="single" w:color="000000" w:sz="4" w:space="0"/>
              <w:left w:val="single" w:color="000000" w:sz="4" w:space="0"/>
              <w:bottom w:val="single" w:color="000000" w:sz="4" w:space="0"/>
              <w:right w:val="single" w:color="000000" w:sz="4" w:space="0"/>
            </w:tcBorders>
          </w:tcPr>
          <w:p w14:paraId="5DEADAE5">
            <w:pPr>
              <w:pStyle w:val="17"/>
              <w:spacing w:before="42"/>
              <w:ind w:left="139"/>
              <w:rPr>
                <w:rFonts w:ascii="宋体" w:hAnsi="宋体" w:eastAsia="宋体" w:cs="宋体"/>
                <w:sz w:val="21"/>
                <w:szCs w:val="21"/>
              </w:rPr>
            </w:pPr>
            <w:r>
              <w:rPr>
                <w:rFonts w:ascii="宋体" w:hAnsi="宋体" w:eastAsia="宋体" w:cs="宋体"/>
                <w:b/>
                <w:bCs/>
                <w:sz w:val="21"/>
                <w:szCs w:val="21"/>
              </w:rPr>
              <w:t>序号</w:t>
            </w:r>
            <w:r>
              <w:rPr>
                <w:rFonts w:ascii="宋体" w:hAnsi="宋体" w:eastAsia="宋体" w:cs="宋体"/>
                <w:b/>
                <w:bCs/>
                <w:w w:val="99"/>
                <w:sz w:val="21"/>
                <w:szCs w:val="21"/>
              </w:rPr>
              <w:t xml:space="preserve"> </w:t>
            </w:r>
          </w:p>
        </w:tc>
        <w:tc>
          <w:tcPr>
            <w:tcW w:w="8308" w:type="dxa"/>
            <w:gridSpan w:val="2"/>
            <w:tcBorders>
              <w:top w:val="single" w:color="000000" w:sz="4" w:space="0"/>
              <w:left w:val="single" w:color="000000" w:sz="4" w:space="0"/>
              <w:bottom w:val="single" w:color="000000" w:sz="4" w:space="0"/>
              <w:right w:val="single" w:color="000000" w:sz="4" w:space="0"/>
            </w:tcBorders>
          </w:tcPr>
          <w:p w14:paraId="15DC614E">
            <w:pPr>
              <w:pStyle w:val="17"/>
              <w:spacing w:before="42"/>
              <w:ind w:left="105"/>
              <w:rPr>
                <w:rFonts w:ascii="宋体" w:hAnsi="宋体" w:eastAsia="宋体" w:cs="宋体"/>
                <w:sz w:val="21"/>
                <w:szCs w:val="21"/>
              </w:rPr>
            </w:pPr>
            <w:r>
              <w:rPr>
                <w:rFonts w:ascii="宋体" w:hAnsi="宋体" w:eastAsia="宋体" w:cs="宋体"/>
                <w:b/>
                <w:bCs/>
                <w:sz w:val="21"/>
                <w:szCs w:val="21"/>
              </w:rPr>
              <w:t>售后服务要求</w:t>
            </w:r>
            <w:r>
              <w:rPr>
                <w:rFonts w:ascii="宋体" w:hAnsi="宋体" w:eastAsia="宋体" w:cs="宋体"/>
                <w:b/>
                <w:bCs/>
                <w:w w:val="99"/>
                <w:sz w:val="21"/>
                <w:szCs w:val="21"/>
              </w:rPr>
              <w:t xml:space="preserve"> </w:t>
            </w:r>
          </w:p>
        </w:tc>
      </w:tr>
      <w:tr w14:paraId="776254BF">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4F2E13EC">
            <w:pPr>
              <w:pStyle w:val="17"/>
              <w:rPr>
                <w:rFonts w:ascii="黑体" w:hAnsi="黑体" w:eastAsia="黑体" w:cs="黑体"/>
                <w:sz w:val="20"/>
                <w:szCs w:val="20"/>
              </w:rPr>
            </w:pPr>
          </w:p>
          <w:p w14:paraId="35BF2851">
            <w:pPr>
              <w:pStyle w:val="17"/>
              <w:rPr>
                <w:rFonts w:ascii="黑体" w:hAnsi="黑体" w:eastAsia="黑体" w:cs="黑体"/>
                <w:sz w:val="20"/>
                <w:szCs w:val="20"/>
              </w:rPr>
            </w:pPr>
          </w:p>
          <w:p w14:paraId="017A6E44">
            <w:pPr>
              <w:pStyle w:val="17"/>
              <w:rPr>
                <w:rFonts w:ascii="黑体" w:hAnsi="黑体" w:eastAsia="黑体" w:cs="黑体"/>
                <w:sz w:val="20"/>
                <w:szCs w:val="20"/>
              </w:rPr>
            </w:pPr>
          </w:p>
          <w:p w14:paraId="50E4DB14">
            <w:pPr>
              <w:pStyle w:val="17"/>
              <w:rPr>
                <w:rFonts w:ascii="黑体" w:hAnsi="黑体" w:eastAsia="黑体" w:cs="黑体"/>
                <w:sz w:val="20"/>
                <w:szCs w:val="20"/>
              </w:rPr>
            </w:pPr>
          </w:p>
          <w:p w14:paraId="76B566D4">
            <w:pPr>
              <w:pStyle w:val="17"/>
              <w:rPr>
                <w:rFonts w:ascii="黑体" w:hAnsi="黑体" w:eastAsia="黑体" w:cs="黑体"/>
                <w:sz w:val="20"/>
                <w:szCs w:val="20"/>
              </w:rPr>
            </w:pPr>
          </w:p>
          <w:p w14:paraId="2836D325">
            <w:pPr>
              <w:pStyle w:val="17"/>
              <w:spacing w:before="174"/>
              <w:ind w:left="295"/>
              <w:rPr>
                <w:rFonts w:ascii="宋体" w:hAnsi="宋体" w:eastAsia="宋体" w:cs="宋体"/>
                <w:sz w:val="21"/>
                <w:szCs w:val="21"/>
              </w:rPr>
            </w:pPr>
            <w:r>
              <w:rPr>
                <w:rFonts w:ascii="宋体"/>
                <w:sz w:val="21"/>
              </w:rPr>
              <w:t xml:space="preserve">1 </w:t>
            </w:r>
          </w:p>
        </w:tc>
        <w:tc>
          <w:tcPr>
            <w:tcW w:w="1421" w:type="dxa"/>
            <w:tcBorders>
              <w:top w:val="single" w:color="000000" w:sz="4" w:space="0"/>
              <w:left w:val="single" w:color="000000" w:sz="4" w:space="0"/>
              <w:bottom w:val="single" w:color="000000" w:sz="4" w:space="0"/>
              <w:right w:val="single" w:color="000000" w:sz="4" w:space="0"/>
            </w:tcBorders>
          </w:tcPr>
          <w:p w14:paraId="5A4EFD4B">
            <w:pPr>
              <w:pStyle w:val="17"/>
              <w:rPr>
                <w:rFonts w:ascii="黑体" w:hAnsi="黑体" w:eastAsia="黑体" w:cs="黑体"/>
                <w:sz w:val="20"/>
                <w:szCs w:val="20"/>
              </w:rPr>
            </w:pPr>
          </w:p>
          <w:p w14:paraId="235811B2">
            <w:pPr>
              <w:pStyle w:val="17"/>
              <w:rPr>
                <w:rFonts w:ascii="黑体" w:hAnsi="黑体" w:eastAsia="黑体" w:cs="黑体"/>
                <w:sz w:val="20"/>
                <w:szCs w:val="20"/>
              </w:rPr>
            </w:pPr>
          </w:p>
          <w:p w14:paraId="04AB9F47">
            <w:pPr>
              <w:pStyle w:val="17"/>
              <w:rPr>
                <w:rFonts w:ascii="黑体" w:hAnsi="黑体" w:eastAsia="黑体" w:cs="黑体"/>
                <w:sz w:val="20"/>
                <w:szCs w:val="20"/>
              </w:rPr>
            </w:pPr>
          </w:p>
          <w:p w14:paraId="470A1074">
            <w:pPr>
              <w:pStyle w:val="17"/>
              <w:rPr>
                <w:rFonts w:ascii="黑体" w:hAnsi="黑体" w:eastAsia="黑体" w:cs="黑体"/>
                <w:sz w:val="20"/>
                <w:szCs w:val="20"/>
              </w:rPr>
            </w:pPr>
          </w:p>
          <w:p w14:paraId="68260BAE">
            <w:pPr>
              <w:pStyle w:val="17"/>
              <w:rPr>
                <w:rFonts w:ascii="黑体" w:hAnsi="黑体" w:eastAsia="黑体" w:cs="黑体"/>
                <w:sz w:val="20"/>
                <w:szCs w:val="20"/>
              </w:rPr>
            </w:pPr>
          </w:p>
          <w:p w14:paraId="169AEE60">
            <w:pPr>
              <w:pStyle w:val="17"/>
              <w:spacing w:before="174"/>
              <w:ind w:left="285"/>
              <w:rPr>
                <w:rFonts w:ascii="宋体" w:hAnsi="宋体" w:eastAsia="宋体" w:cs="宋体"/>
                <w:sz w:val="21"/>
                <w:szCs w:val="21"/>
              </w:rPr>
            </w:pPr>
            <w:r>
              <w:rPr>
                <w:rFonts w:ascii="宋体" w:hAnsi="宋体" w:eastAsia="宋体" w:cs="宋体"/>
                <w:sz w:val="21"/>
                <w:szCs w:val="21"/>
              </w:rPr>
              <w:t xml:space="preserve">安装集成 </w:t>
            </w:r>
          </w:p>
        </w:tc>
        <w:tc>
          <w:tcPr>
            <w:tcW w:w="6887" w:type="dxa"/>
            <w:tcBorders>
              <w:top w:val="single" w:color="000000" w:sz="4" w:space="0"/>
              <w:left w:val="single" w:color="000000" w:sz="4" w:space="0"/>
              <w:bottom w:val="single" w:color="000000" w:sz="4" w:space="0"/>
              <w:right w:val="single" w:color="000000" w:sz="4" w:space="0"/>
            </w:tcBorders>
          </w:tcPr>
          <w:p w14:paraId="50B79C62">
            <w:pPr>
              <w:pStyle w:val="17"/>
              <w:numPr>
                <w:ilvl w:val="0"/>
                <w:numId w:val="6"/>
              </w:numPr>
              <w:ind w:left="420" w:hangingChars="200"/>
              <w:rPr>
                <w:rFonts w:ascii="宋体" w:hAnsi="宋体" w:eastAsia="宋体" w:cs="宋体"/>
                <w:sz w:val="21"/>
                <w:szCs w:val="21"/>
                <w:lang w:eastAsia="zh-CN"/>
              </w:rPr>
            </w:pPr>
            <w:r>
              <w:rPr>
                <w:rFonts w:ascii="宋体" w:hAnsi="宋体" w:eastAsia="宋体" w:cs="宋体"/>
                <w:sz w:val="21"/>
                <w:szCs w:val="21"/>
                <w:lang w:eastAsia="zh-CN"/>
              </w:rPr>
              <w:t>应指定专门人员负责整个项目实施，指定现场实施具体负责人</w:t>
            </w:r>
            <w:r>
              <w:rPr>
                <w:rFonts w:ascii="宋体" w:hAnsi="宋体" w:eastAsia="宋体" w:cs="宋体"/>
                <w:spacing w:val="-2"/>
                <w:sz w:val="21"/>
                <w:szCs w:val="21"/>
                <w:lang w:eastAsia="zh-CN"/>
              </w:rPr>
              <w:t>起全权负责项目管理和协调项目中出现的问题，管理项目进</w:t>
            </w:r>
            <w:r>
              <w:rPr>
                <w:rFonts w:ascii="宋体" w:hAnsi="宋体" w:eastAsia="宋体" w:cs="宋体"/>
                <w:spacing w:val="-40"/>
                <w:sz w:val="21"/>
                <w:szCs w:val="21"/>
                <w:lang w:eastAsia="zh-CN"/>
              </w:rPr>
              <w:t xml:space="preserve"> </w:t>
            </w:r>
            <w:r>
              <w:rPr>
                <w:rFonts w:ascii="宋体" w:hAnsi="宋体" w:eastAsia="宋体" w:cs="宋体"/>
                <w:sz w:val="21"/>
                <w:szCs w:val="21"/>
                <w:lang w:eastAsia="zh-CN"/>
              </w:rPr>
              <w:t xml:space="preserve">度、需求变更、协调本方资源等多方面的工作。 </w:t>
            </w:r>
          </w:p>
          <w:p w14:paraId="2EF74EB1">
            <w:pPr>
              <w:pStyle w:val="17"/>
              <w:numPr>
                <w:ilvl w:val="0"/>
                <w:numId w:val="6"/>
              </w:numPr>
              <w:tabs>
                <w:tab w:val="left" w:pos="528"/>
              </w:tabs>
              <w:ind w:left="420"/>
              <w:rPr>
                <w:rFonts w:ascii="宋体" w:hAnsi="宋体" w:eastAsia="宋体" w:cs="宋体"/>
                <w:sz w:val="21"/>
                <w:szCs w:val="21"/>
                <w:lang w:eastAsia="zh-CN"/>
              </w:rPr>
            </w:pPr>
            <w:r>
              <w:rPr>
                <w:rFonts w:ascii="宋体" w:hAnsi="宋体" w:eastAsia="宋体" w:cs="宋体"/>
                <w:sz w:val="21"/>
                <w:szCs w:val="21"/>
                <w:lang w:eastAsia="zh-CN"/>
              </w:rPr>
              <w:t>安排专业人员提供安装调试接通实施服务，本项目报价中已包含相关费用，人不得以任何借口另行收取费用。</w:t>
            </w:r>
          </w:p>
          <w:p w14:paraId="6092B623">
            <w:pPr>
              <w:pStyle w:val="17"/>
              <w:numPr>
                <w:ilvl w:val="0"/>
                <w:numId w:val="6"/>
              </w:numPr>
              <w:tabs>
                <w:tab w:val="left" w:pos="528"/>
              </w:tabs>
              <w:ind w:left="420"/>
              <w:rPr>
                <w:rFonts w:ascii="宋体" w:hAnsi="宋体" w:eastAsia="宋体" w:cs="宋体"/>
                <w:sz w:val="21"/>
                <w:szCs w:val="21"/>
                <w:lang w:eastAsia="zh-CN"/>
              </w:rPr>
            </w:pPr>
            <w:r>
              <w:rPr>
                <w:rFonts w:ascii="宋体" w:hAnsi="宋体" w:eastAsia="宋体" w:cs="宋体"/>
                <w:sz w:val="21"/>
                <w:szCs w:val="21"/>
                <w:lang w:eastAsia="zh-CN"/>
              </w:rPr>
              <w:t>定期回访用户，当出现重大故障问题并影响到实际应用时，中须在最短时间 内响应并派人到现场解决。</w:t>
            </w:r>
            <w:r>
              <w:rPr>
                <w:rFonts w:hint="eastAsia" w:ascii="宋体" w:hAnsi="宋体" w:eastAsia="宋体" w:cs="宋体"/>
                <w:sz w:val="21"/>
                <w:szCs w:val="21"/>
                <w:lang w:eastAsia="zh-CN"/>
              </w:rPr>
              <w:t>或提供备用解决方案。</w:t>
            </w:r>
            <w:r>
              <w:rPr>
                <w:rFonts w:ascii="宋体" w:hAnsi="宋体" w:eastAsia="宋体" w:cs="宋体"/>
                <w:sz w:val="21"/>
                <w:szCs w:val="21"/>
                <w:lang w:eastAsia="zh-CN"/>
              </w:rPr>
              <w:t>工作现场严格遵守招标人的规定。项目实施过程中，因中标人原因引起的招标人财产损失及安全事故，由中标人承担责任。</w:t>
            </w:r>
          </w:p>
        </w:tc>
      </w:tr>
      <w:tr w14:paraId="6AE7F3F8">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125A2324">
            <w:pPr>
              <w:pStyle w:val="17"/>
              <w:rPr>
                <w:rFonts w:ascii="黑体" w:hAnsi="黑体" w:eastAsia="黑体" w:cs="黑体"/>
                <w:sz w:val="20"/>
                <w:szCs w:val="20"/>
              </w:rPr>
            </w:pPr>
            <w:r>
              <w:rPr>
                <w:rFonts w:hint="eastAsia" w:ascii="黑体" w:hAnsi="黑体" w:eastAsia="黑体" w:cs="黑体"/>
                <w:sz w:val="20"/>
                <w:szCs w:val="20"/>
                <w:lang w:eastAsia="zh-CN"/>
              </w:rPr>
              <w:t>2</w:t>
            </w:r>
          </w:p>
        </w:tc>
        <w:tc>
          <w:tcPr>
            <w:tcW w:w="1421" w:type="dxa"/>
            <w:tcBorders>
              <w:top w:val="single" w:color="000000" w:sz="4" w:space="0"/>
              <w:left w:val="single" w:color="000000" w:sz="4" w:space="0"/>
              <w:bottom w:val="single" w:color="000000" w:sz="4" w:space="0"/>
              <w:right w:val="single" w:color="000000" w:sz="4" w:space="0"/>
            </w:tcBorders>
          </w:tcPr>
          <w:p w14:paraId="2702EA61">
            <w:pPr>
              <w:pStyle w:val="17"/>
              <w:rPr>
                <w:rFonts w:ascii="黑体" w:hAnsi="黑体" w:eastAsia="黑体" w:cs="黑体"/>
                <w:sz w:val="20"/>
                <w:szCs w:val="20"/>
              </w:rPr>
            </w:pPr>
            <w:r>
              <w:rPr>
                <w:rFonts w:hint="eastAsia" w:ascii="宋体" w:hAnsi="宋体" w:eastAsia="宋体" w:cs="宋体"/>
                <w:sz w:val="21"/>
                <w:szCs w:val="21"/>
                <w:lang w:eastAsia="zh-CN"/>
              </w:rPr>
              <w:t>保修期限及内容</w:t>
            </w:r>
          </w:p>
        </w:tc>
        <w:tc>
          <w:tcPr>
            <w:tcW w:w="6887" w:type="dxa"/>
            <w:tcBorders>
              <w:top w:val="single" w:color="000000" w:sz="4" w:space="0"/>
              <w:left w:val="single" w:color="000000" w:sz="4" w:space="0"/>
              <w:bottom w:val="single" w:color="000000" w:sz="4" w:space="0"/>
              <w:right w:val="single" w:color="000000" w:sz="4" w:space="0"/>
            </w:tcBorders>
          </w:tcPr>
          <w:p w14:paraId="35E65DF6">
            <w:pPr>
              <w:pStyle w:val="17"/>
              <w:numPr>
                <w:ilvl w:val="0"/>
                <w:numId w:val="7"/>
              </w:numPr>
              <w:jc w:val="both"/>
              <w:rPr>
                <w:rFonts w:ascii="宋体" w:hAnsi="宋体" w:eastAsia="宋体" w:cs="宋体"/>
                <w:sz w:val="21"/>
                <w:szCs w:val="21"/>
                <w:lang w:eastAsia="zh-CN"/>
              </w:rPr>
            </w:pPr>
            <w:r>
              <w:rPr>
                <w:rFonts w:hint="eastAsia" w:ascii="宋体" w:hAnsi="宋体" w:eastAsia="宋体" w:cs="宋体"/>
                <w:sz w:val="21"/>
                <w:szCs w:val="21"/>
                <w:lang w:eastAsia="zh-CN"/>
              </w:rPr>
              <w:t>自项目终验之日起，</w:t>
            </w:r>
            <w:r>
              <w:rPr>
                <w:rFonts w:hint="eastAsia" w:ascii="宋体" w:hAnsi="宋体" w:eastAsia="宋体" w:cs="宋体"/>
                <w:sz w:val="21"/>
                <w:szCs w:val="21"/>
                <w:lang w:val="en-US" w:eastAsia="zh-CN"/>
              </w:rPr>
              <w:t>成交企业</w:t>
            </w:r>
            <w:r>
              <w:rPr>
                <w:rFonts w:hint="eastAsia" w:ascii="宋体" w:hAnsi="宋体" w:eastAsia="宋体" w:cs="宋体"/>
                <w:sz w:val="21"/>
                <w:szCs w:val="21"/>
                <w:lang w:eastAsia="zh-CN"/>
              </w:rPr>
              <w:t>对所有投标产品提供十年的免费质保服务。</w:t>
            </w:r>
          </w:p>
          <w:p w14:paraId="61AF6E39">
            <w:pPr>
              <w:pStyle w:val="17"/>
              <w:numPr>
                <w:ilvl w:val="0"/>
                <w:numId w:val="7"/>
              </w:numPr>
              <w:jc w:val="both"/>
              <w:rPr>
                <w:rFonts w:ascii="宋体" w:hAnsi="宋体" w:eastAsia="宋体" w:cs="宋体"/>
                <w:sz w:val="21"/>
                <w:szCs w:val="21"/>
                <w:lang w:eastAsia="zh-CN"/>
              </w:rPr>
            </w:pPr>
            <w:r>
              <w:rPr>
                <w:rFonts w:hint="eastAsia" w:ascii="宋体" w:hAnsi="宋体" w:eastAsia="宋体" w:cs="宋体"/>
                <w:sz w:val="21"/>
                <w:szCs w:val="21"/>
                <w:lang w:eastAsia="zh-CN"/>
              </w:rPr>
              <w:t>免费质保服务包括：在办公家具设备的日常正常使用情况下发生非人为的不正常的损坏及不能正常使用提供维修和维保服务等。</w:t>
            </w:r>
          </w:p>
          <w:p w14:paraId="222461F7">
            <w:pPr>
              <w:pStyle w:val="17"/>
              <w:numPr>
                <w:ilvl w:val="0"/>
                <w:numId w:val="7"/>
              </w:numPr>
              <w:jc w:val="both"/>
              <w:rPr>
                <w:rFonts w:ascii="宋体" w:hAnsi="宋体" w:eastAsia="宋体" w:cs="宋体"/>
                <w:sz w:val="21"/>
                <w:szCs w:val="21"/>
                <w:lang w:eastAsia="zh-CN"/>
              </w:rPr>
            </w:pPr>
            <w:r>
              <w:rPr>
                <w:rFonts w:hint="eastAsia" w:ascii="宋体" w:hAnsi="宋体" w:eastAsia="宋体" w:cs="宋体"/>
                <w:sz w:val="21"/>
                <w:szCs w:val="21"/>
                <w:lang w:eastAsia="zh-CN"/>
              </w:rPr>
              <w:t>投标人需提供</w:t>
            </w:r>
            <w:r>
              <w:rPr>
                <w:rFonts w:ascii="宋体" w:hAnsi="宋体" w:eastAsia="宋体" w:cs="宋体"/>
                <w:sz w:val="21"/>
                <w:szCs w:val="21"/>
                <w:lang w:eastAsia="zh-CN"/>
              </w:rPr>
              <w:t>7</w:t>
            </w:r>
            <w:r>
              <w:rPr>
                <w:rFonts w:ascii="Wingdings 2" w:hAnsi="Wingdings 2" w:eastAsia="宋体" w:cs="宋体"/>
                <w:sz w:val="21"/>
                <w:szCs w:val="21"/>
                <w:lang w:eastAsia="zh-CN"/>
              </w:rPr>
              <w:t></w:t>
            </w:r>
            <w:r>
              <w:rPr>
                <w:rFonts w:ascii="宋体" w:hAnsi="宋体" w:eastAsia="宋体" w:cs="宋体"/>
                <w:sz w:val="21"/>
                <w:szCs w:val="21"/>
                <w:lang w:eastAsia="zh-CN"/>
              </w:rPr>
              <w:t>24</w:t>
            </w:r>
            <w:r>
              <w:rPr>
                <w:rFonts w:hint="eastAsia" w:ascii="宋体" w:hAnsi="宋体" w:eastAsia="宋体" w:cs="宋体"/>
                <w:sz w:val="21"/>
                <w:szCs w:val="21"/>
                <w:lang w:eastAsia="zh-CN"/>
              </w:rPr>
              <w:t>小时的电话技术支持和服务；3</w:t>
            </w:r>
            <w:r>
              <w:rPr>
                <w:rFonts w:ascii="宋体" w:hAnsi="宋体" w:eastAsia="宋体" w:cs="宋体"/>
                <w:sz w:val="21"/>
                <w:szCs w:val="21"/>
                <w:lang w:eastAsia="zh-CN"/>
              </w:rPr>
              <w:t>0</w:t>
            </w:r>
            <w:r>
              <w:rPr>
                <w:rFonts w:hint="eastAsia" w:ascii="宋体" w:hAnsi="宋体" w:eastAsia="宋体" w:cs="宋体"/>
                <w:sz w:val="21"/>
                <w:szCs w:val="21"/>
                <w:lang w:eastAsia="zh-CN"/>
              </w:rPr>
              <w:t>分钟内做出实质性响应，2小时内到达指定现场，2</w:t>
            </w:r>
            <w:r>
              <w:rPr>
                <w:rFonts w:ascii="宋体" w:hAnsi="宋体" w:eastAsia="宋体" w:cs="宋体"/>
                <w:sz w:val="21"/>
                <w:szCs w:val="21"/>
                <w:lang w:eastAsia="zh-CN"/>
              </w:rPr>
              <w:t>4</w:t>
            </w:r>
            <w:r>
              <w:rPr>
                <w:rFonts w:hint="eastAsia" w:ascii="宋体" w:hAnsi="宋体" w:eastAsia="宋体" w:cs="宋体"/>
                <w:sz w:val="21"/>
                <w:szCs w:val="21"/>
                <w:lang w:eastAsia="zh-CN"/>
              </w:rPr>
              <w:t>小时内解决问题。须指定专人提供质保服务。服务方式包括电话、互联网、E-mail和现场等方式。</w:t>
            </w:r>
          </w:p>
          <w:p w14:paraId="68CF11BA">
            <w:pPr>
              <w:pStyle w:val="17"/>
              <w:numPr>
                <w:ilvl w:val="0"/>
                <w:numId w:val="6"/>
              </w:numPr>
              <w:ind w:left="420" w:hangingChars="200"/>
              <w:rPr>
                <w:rFonts w:ascii="宋体" w:hAnsi="宋体" w:eastAsia="宋体" w:cs="宋体"/>
                <w:sz w:val="21"/>
                <w:szCs w:val="21"/>
                <w:lang w:eastAsia="zh-CN"/>
              </w:rPr>
            </w:pPr>
            <w:r>
              <w:rPr>
                <w:rFonts w:hint="eastAsia" w:ascii="宋体" w:hAnsi="宋体" w:eastAsia="宋体" w:cs="宋体"/>
                <w:sz w:val="21"/>
                <w:szCs w:val="21"/>
                <w:lang w:eastAsia="zh-CN"/>
              </w:rPr>
              <w:t>投标人具有固定的经营服务场所，具有响应的服务设施、工具、车辆等，并提供证明。</w:t>
            </w:r>
          </w:p>
        </w:tc>
      </w:tr>
      <w:tr w14:paraId="2CFA591A">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5F876468">
            <w:pPr>
              <w:pStyle w:val="17"/>
              <w:rPr>
                <w:rFonts w:ascii="黑体" w:hAnsi="黑体" w:eastAsia="黑体" w:cs="黑体"/>
                <w:sz w:val="20"/>
                <w:szCs w:val="20"/>
                <w:lang w:eastAsia="zh-CN"/>
              </w:rPr>
            </w:pPr>
            <w:r>
              <w:rPr>
                <w:rFonts w:hint="eastAsia" w:ascii="黑体" w:hAnsi="黑体" w:eastAsia="黑体" w:cs="黑体"/>
                <w:sz w:val="20"/>
                <w:szCs w:val="20"/>
                <w:lang w:eastAsia="zh-CN"/>
              </w:rPr>
              <w:t>3</w:t>
            </w:r>
          </w:p>
        </w:tc>
        <w:tc>
          <w:tcPr>
            <w:tcW w:w="1421" w:type="dxa"/>
            <w:tcBorders>
              <w:top w:val="single" w:color="000000" w:sz="4" w:space="0"/>
              <w:left w:val="single" w:color="000000" w:sz="4" w:space="0"/>
              <w:bottom w:val="single" w:color="000000" w:sz="4" w:space="0"/>
              <w:right w:val="single" w:color="000000" w:sz="4" w:space="0"/>
            </w:tcBorders>
          </w:tcPr>
          <w:p w14:paraId="6823D899">
            <w:pPr>
              <w:pStyle w:val="17"/>
              <w:rPr>
                <w:rFonts w:ascii="宋体" w:hAnsi="宋体" w:eastAsia="宋体" w:cs="宋体"/>
                <w:sz w:val="21"/>
                <w:szCs w:val="21"/>
                <w:lang w:eastAsia="zh-CN"/>
              </w:rPr>
            </w:pPr>
            <w:r>
              <w:rPr>
                <w:rFonts w:hint="eastAsia" w:ascii="宋体" w:hAnsi="宋体" w:eastAsia="宋体" w:cs="宋体"/>
                <w:sz w:val="21"/>
                <w:szCs w:val="21"/>
                <w:lang w:eastAsia="zh-CN"/>
              </w:rPr>
              <w:t>超出保修期维保费用</w:t>
            </w:r>
          </w:p>
        </w:tc>
        <w:tc>
          <w:tcPr>
            <w:tcW w:w="6887" w:type="dxa"/>
            <w:tcBorders>
              <w:top w:val="single" w:color="000000" w:sz="4" w:space="0"/>
              <w:left w:val="single" w:color="000000" w:sz="4" w:space="0"/>
              <w:bottom w:val="single" w:color="000000" w:sz="4" w:space="0"/>
              <w:right w:val="single" w:color="000000" w:sz="4" w:space="0"/>
            </w:tcBorders>
          </w:tcPr>
          <w:p w14:paraId="42395839">
            <w:pPr>
              <w:pStyle w:val="10"/>
              <w:numPr>
                <w:ilvl w:val="0"/>
                <w:numId w:val="2"/>
              </w:numPr>
              <w:jc w:val="both"/>
              <w:rPr>
                <w:rFonts w:ascii="宋体" w:hAnsi="宋体" w:cs="宋体"/>
                <w:szCs w:val="21"/>
              </w:rPr>
            </w:pPr>
            <w:r>
              <w:rPr>
                <w:rFonts w:hint="eastAsia" w:ascii="宋体" w:hAnsi="宋体" w:cs="宋体"/>
                <w:szCs w:val="21"/>
              </w:rPr>
              <w:t>免费服务期满后，如仍需</w:t>
            </w:r>
            <w:r>
              <w:rPr>
                <w:rFonts w:hint="eastAsia" w:ascii="宋体" w:hAnsi="宋体" w:cs="宋体"/>
                <w:szCs w:val="21"/>
                <w:lang w:val="en-US" w:eastAsia="zh-CN"/>
              </w:rPr>
              <w:t>成交</w:t>
            </w:r>
            <w:r>
              <w:rPr>
                <w:rFonts w:hint="eastAsia" w:ascii="宋体" w:hAnsi="宋体" w:cs="宋体"/>
                <w:szCs w:val="21"/>
              </w:rPr>
              <w:t>企业继续提供维护服务，双方另行协商，维护费不得高于本合同金额的8</w:t>
            </w:r>
            <w:r>
              <w:rPr>
                <w:rFonts w:ascii="宋体" w:hAnsi="宋体" w:cs="宋体"/>
                <w:szCs w:val="21"/>
              </w:rPr>
              <w:t>%</w:t>
            </w:r>
            <w:r>
              <w:rPr>
                <w:rFonts w:hint="eastAsia" w:ascii="宋体" w:hAnsi="宋体" w:cs="宋体"/>
                <w:szCs w:val="21"/>
              </w:rPr>
              <w:t>（百分之捌）</w:t>
            </w:r>
          </w:p>
        </w:tc>
      </w:tr>
      <w:tr w14:paraId="5A8F7E2B">
        <w:tblPrEx>
          <w:tblCellMar>
            <w:top w:w="0" w:type="dxa"/>
            <w:left w:w="0" w:type="dxa"/>
            <w:bottom w:w="0" w:type="dxa"/>
            <w:right w:w="0" w:type="dxa"/>
          </w:tblCellMar>
        </w:tblPrEx>
        <w:trPr>
          <w:trHeight w:val="3155" w:hRule="exact"/>
        </w:trPr>
        <w:tc>
          <w:tcPr>
            <w:tcW w:w="706" w:type="dxa"/>
            <w:tcBorders>
              <w:top w:val="single" w:color="000000" w:sz="4" w:space="0"/>
              <w:left w:val="single" w:color="000000" w:sz="4" w:space="0"/>
              <w:bottom w:val="single" w:color="000000" w:sz="4" w:space="0"/>
              <w:right w:val="single" w:color="000000" w:sz="4" w:space="0"/>
            </w:tcBorders>
          </w:tcPr>
          <w:p w14:paraId="1B38FE7C">
            <w:pPr>
              <w:pStyle w:val="17"/>
              <w:rPr>
                <w:rFonts w:ascii="黑体" w:hAnsi="黑体" w:eastAsia="黑体" w:cs="黑体"/>
                <w:sz w:val="20"/>
                <w:szCs w:val="20"/>
                <w:lang w:eastAsia="zh-CN"/>
              </w:rPr>
            </w:pPr>
            <w:r>
              <w:rPr>
                <w:rFonts w:ascii="黑体" w:hAnsi="黑体" w:eastAsia="黑体" w:cs="黑体"/>
                <w:sz w:val="20"/>
                <w:szCs w:val="20"/>
                <w:lang w:eastAsia="zh-CN"/>
              </w:rPr>
              <w:t>4</w:t>
            </w:r>
          </w:p>
        </w:tc>
        <w:tc>
          <w:tcPr>
            <w:tcW w:w="1421" w:type="dxa"/>
            <w:tcBorders>
              <w:top w:val="single" w:color="000000" w:sz="4" w:space="0"/>
              <w:left w:val="single" w:color="000000" w:sz="4" w:space="0"/>
              <w:bottom w:val="single" w:color="000000" w:sz="4" w:space="0"/>
              <w:right w:val="single" w:color="000000" w:sz="4" w:space="0"/>
            </w:tcBorders>
          </w:tcPr>
          <w:p w14:paraId="74878BD3">
            <w:pPr>
              <w:pStyle w:val="17"/>
              <w:rPr>
                <w:rFonts w:ascii="宋体" w:hAnsi="宋体" w:eastAsia="宋体" w:cs="宋体"/>
                <w:sz w:val="21"/>
                <w:szCs w:val="21"/>
                <w:lang w:eastAsia="zh-CN"/>
              </w:rPr>
            </w:pPr>
            <w:r>
              <w:rPr>
                <w:rFonts w:hint="eastAsia" w:ascii="宋体" w:hAnsi="宋体" w:eastAsia="宋体" w:cs="宋体"/>
                <w:sz w:val="21"/>
                <w:szCs w:val="21"/>
                <w:lang w:eastAsia="zh-CN"/>
              </w:rPr>
              <w:t>交付时间</w:t>
            </w:r>
          </w:p>
        </w:tc>
        <w:tc>
          <w:tcPr>
            <w:tcW w:w="6887" w:type="dxa"/>
            <w:tcBorders>
              <w:top w:val="single" w:color="000000" w:sz="4" w:space="0"/>
              <w:left w:val="single" w:color="000000" w:sz="4" w:space="0"/>
              <w:bottom w:val="single" w:color="000000" w:sz="4" w:space="0"/>
              <w:right w:val="single" w:color="000000" w:sz="4" w:space="0"/>
            </w:tcBorders>
          </w:tcPr>
          <w:p w14:paraId="0F0C0103">
            <w:pPr>
              <w:pStyle w:val="10"/>
              <w:numPr>
                <w:ilvl w:val="0"/>
                <w:numId w:val="2"/>
              </w:numPr>
              <w:jc w:val="both"/>
              <w:rPr>
                <w:rFonts w:ascii="宋体" w:hAnsi="宋体" w:cs="宋体"/>
                <w:szCs w:val="21"/>
              </w:rPr>
            </w:pPr>
            <w:r>
              <w:rPr>
                <w:rFonts w:hint="eastAsia" w:ascii="宋体" w:hAnsi="宋体" w:cs="宋体"/>
                <w:szCs w:val="21"/>
              </w:rPr>
              <w:t>签订合同后</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日内交付安装完成，投入使用</w:t>
            </w:r>
          </w:p>
        </w:tc>
      </w:tr>
    </w:tbl>
    <w:p w14:paraId="4DE82CA9">
      <w:pPr>
        <w:rPr>
          <w:rFonts w:ascii="微软雅黑" w:hAnsi="微软雅黑" w:eastAsia="微软雅黑"/>
          <w:sz w:val="24"/>
          <w:szCs w:val="24"/>
        </w:rPr>
      </w:pPr>
      <w:r>
        <w:rPr>
          <w:rFonts w:ascii="微软雅黑" w:hAnsi="微软雅黑" w:eastAsia="微软雅黑"/>
          <w:sz w:val="24"/>
          <w:szCs w:val="24"/>
        </w:rPr>
        <w:br w:type="page"/>
      </w:r>
    </w:p>
    <w:p w14:paraId="5FCA7493">
      <w:pPr>
        <w:pStyle w:val="6"/>
        <w:spacing w:line="360" w:lineRule="auto"/>
        <w:jc w:val="center"/>
        <w:outlineLvl w:val="0"/>
        <w:rPr>
          <w:b/>
          <w:color w:val="000000"/>
          <w:sz w:val="36"/>
          <w:szCs w:val="36"/>
        </w:rPr>
      </w:pPr>
      <w:r>
        <w:rPr>
          <w:rFonts w:hint="eastAsia"/>
          <w:b/>
          <w:color w:val="000000"/>
          <w:sz w:val="36"/>
          <w:szCs w:val="36"/>
        </w:rPr>
        <w:t>比选标准</w:t>
      </w:r>
    </w:p>
    <w:p w14:paraId="1D5D8B39">
      <w:pPr>
        <w:pStyle w:val="7"/>
        <w:spacing w:line="240" w:lineRule="auto"/>
        <w:ind w:firstLine="0" w:firstLineChars="0"/>
        <w:outlineLvl w:val="0"/>
        <w:rPr>
          <w:rFonts w:ascii="宋体" w:eastAsia="宋体"/>
          <w:b/>
          <w:color w:val="000000"/>
        </w:rPr>
      </w:pPr>
      <w:bookmarkStart w:id="0" w:name="_Toc429147472"/>
      <w:r>
        <w:rPr>
          <w:rFonts w:hint="eastAsia" w:ascii="宋体" w:eastAsia="宋体"/>
          <w:b/>
          <w:color w:val="000000"/>
        </w:rPr>
        <w:t>1、比选方法</w:t>
      </w:r>
      <w:bookmarkEnd w:id="0"/>
    </w:p>
    <w:p w14:paraId="2663E277">
      <w:pPr>
        <w:spacing w:line="400" w:lineRule="exact"/>
        <w:ind w:firstLine="480" w:firstLineChars="200"/>
        <w:jc w:val="left"/>
        <w:rPr>
          <w:rFonts w:ascii="宋体"/>
          <w:color w:val="000000"/>
          <w:sz w:val="24"/>
        </w:rPr>
      </w:pPr>
      <w:r>
        <w:rPr>
          <w:rFonts w:hint="eastAsia" w:ascii="宋体"/>
          <w:color w:val="000000"/>
          <w:sz w:val="24"/>
        </w:rPr>
        <w:t>本项目采用综合评分法，即在最大限度满足需求文件实质性要求前提下，由比选委员会对各比选人报价、比选设备技术参数与功能配置、品牌、市场占有率、售后服务承诺、用户印象等方面进行综合评审。经各评委独立打分，按总得分从高到低顺序推荐确定成交候选人。</w:t>
      </w:r>
    </w:p>
    <w:p w14:paraId="7904712D">
      <w:pPr>
        <w:pStyle w:val="6"/>
        <w:numPr>
          <w:ilvl w:val="0"/>
          <w:numId w:val="8"/>
        </w:numPr>
        <w:spacing w:line="380" w:lineRule="exact"/>
        <w:jc w:val="left"/>
        <w:rPr>
          <w:color w:val="000000"/>
          <w:szCs w:val="24"/>
        </w:rPr>
      </w:pPr>
      <w:r>
        <w:rPr>
          <w:rFonts w:hint="eastAsia" w:ascii="宋体" w:hAnsi="Calibri" w:eastAsia="宋体" w:cs="Times New Roman"/>
          <w:b/>
          <w:color w:val="000000"/>
          <w:kern w:val="2"/>
          <w:sz w:val="24"/>
          <w:szCs w:val="22"/>
          <w:lang w:val="en-US" w:eastAsia="zh-CN" w:bidi="ar-SA"/>
        </w:rPr>
        <w:t>评分标准：</w:t>
      </w:r>
      <w:r>
        <w:rPr>
          <w:rFonts w:hint="eastAsia" w:ascii="宋体" w:hAnsi="Calibri" w:eastAsia="宋体" w:cs="Times New Roman"/>
          <w:color w:val="000000"/>
          <w:kern w:val="2"/>
          <w:sz w:val="24"/>
          <w:szCs w:val="22"/>
          <w:lang w:val="en-US" w:eastAsia="zh-CN" w:bidi="ar-SA"/>
        </w:rPr>
        <w:t>总分100分，其中技术分70分，商务分30分。评分依下述所列为评标打分依据，分值如下（本次评标评委由3人或3人以上单数组成，评分计算技术分时，平均值保留小数2位）：</w:t>
      </w:r>
    </w:p>
    <w:tbl>
      <w:tblPr>
        <w:tblStyle w:val="11"/>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86"/>
        <w:gridCol w:w="709"/>
        <w:gridCol w:w="6095"/>
      </w:tblGrid>
      <w:tr w14:paraId="30AF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0" w:type="dxa"/>
            <w:gridSpan w:val="2"/>
            <w:tcBorders>
              <w:top w:val="single" w:color="auto" w:sz="4" w:space="0"/>
              <w:left w:val="single" w:color="auto" w:sz="4" w:space="0"/>
              <w:bottom w:val="single" w:color="auto" w:sz="4" w:space="0"/>
              <w:right w:val="single" w:color="auto" w:sz="4" w:space="0"/>
            </w:tcBorders>
            <w:vAlign w:val="center"/>
          </w:tcPr>
          <w:p w14:paraId="7531BE11">
            <w:pPr>
              <w:spacing w:line="360" w:lineRule="auto"/>
              <w:jc w:val="center"/>
              <w:rPr>
                <w:rFonts w:cs="Times New Roman"/>
                <w:bCs/>
                <w:color w:val="000000"/>
              </w:rPr>
            </w:pPr>
            <w:bookmarkStart w:id="1" w:name="_Hlk137062881"/>
            <w:r>
              <w:rPr>
                <w:rFonts w:hint="eastAsia" w:cs="Times New Roman"/>
                <w:bCs/>
                <w:color w:val="000000"/>
              </w:rPr>
              <w:t>评分因素</w:t>
            </w:r>
            <w:bookmarkEnd w:id="1"/>
          </w:p>
        </w:tc>
        <w:tc>
          <w:tcPr>
            <w:tcW w:w="709" w:type="dxa"/>
            <w:tcBorders>
              <w:top w:val="single" w:color="auto" w:sz="4" w:space="0"/>
              <w:left w:val="single" w:color="auto" w:sz="4" w:space="0"/>
              <w:bottom w:val="single" w:color="auto" w:sz="4" w:space="0"/>
              <w:right w:val="single" w:color="auto" w:sz="4" w:space="0"/>
            </w:tcBorders>
            <w:vAlign w:val="center"/>
          </w:tcPr>
          <w:p w14:paraId="27A6C518">
            <w:pPr>
              <w:spacing w:line="360" w:lineRule="auto"/>
              <w:jc w:val="center"/>
              <w:rPr>
                <w:rFonts w:cs="Times New Roman"/>
                <w:bCs/>
                <w:color w:val="000000"/>
              </w:rPr>
            </w:pPr>
            <w:r>
              <w:rPr>
                <w:rFonts w:hint="eastAsia" w:cs="Times New Roman"/>
                <w:bCs/>
                <w:color w:val="000000"/>
              </w:rPr>
              <w:t>分值</w:t>
            </w:r>
          </w:p>
        </w:tc>
        <w:tc>
          <w:tcPr>
            <w:tcW w:w="6095" w:type="dxa"/>
            <w:tcBorders>
              <w:top w:val="single" w:color="auto" w:sz="4" w:space="0"/>
              <w:left w:val="single" w:color="auto" w:sz="4" w:space="0"/>
              <w:bottom w:val="single" w:color="auto" w:sz="4" w:space="0"/>
              <w:right w:val="single" w:color="auto" w:sz="4" w:space="0"/>
            </w:tcBorders>
            <w:vAlign w:val="center"/>
          </w:tcPr>
          <w:p w14:paraId="17918992">
            <w:pPr>
              <w:spacing w:line="360" w:lineRule="auto"/>
              <w:jc w:val="center"/>
              <w:rPr>
                <w:rFonts w:cs="Times New Roman"/>
                <w:bCs/>
                <w:color w:val="000000"/>
              </w:rPr>
            </w:pPr>
            <w:r>
              <w:rPr>
                <w:rFonts w:hint="eastAsia" w:cs="Times New Roman"/>
                <w:bCs/>
                <w:color w:val="000000"/>
              </w:rPr>
              <w:t>评审细则</w:t>
            </w:r>
          </w:p>
        </w:tc>
      </w:tr>
      <w:tr w14:paraId="2523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2A5AF075">
            <w:pPr>
              <w:spacing w:line="360" w:lineRule="auto"/>
              <w:jc w:val="center"/>
              <w:rPr>
                <w:rFonts w:cs="Times New Roman"/>
                <w:bCs/>
                <w:color w:val="000000"/>
              </w:rPr>
            </w:pPr>
            <w:bookmarkStart w:id="2" w:name="_Hlk130408185"/>
            <w:r>
              <w:rPr>
                <w:rFonts w:hint="eastAsia" w:cs="Times New Roman"/>
                <w:bCs/>
                <w:color w:val="000000"/>
              </w:rPr>
              <w:t>价格部分</w:t>
            </w:r>
            <w:bookmarkEnd w:id="2"/>
          </w:p>
        </w:tc>
        <w:tc>
          <w:tcPr>
            <w:tcW w:w="1086" w:type="dxa"/>
            <w:tcBorders>
              <w:top w:val="single" w:color="auto" w:sz="4" w:space="0"/>
              <w:left w:val="single" w:color="auto" w:sz="4" w:space="0"/>
              <w:bottom w:val="single" w:color="auto" w:sz="4" w:space="0"/>
              <w:right w:val="single" w:color="auto" w:sz="4" w:space="0"/>
            </w:tcBorders>
            <w:vAlign w:val="center"/>
          </w:tcPr>
          <w:p w14:paraId="392FDE13">
            <w:pPr>
              <w:spacing w:line="360" w:lineRule="auto"/>
              <w:jc w:val="center"/>
              <w:rPr>
                <w:rFonts w:cs="Times New Roman"/>
                <w:bCs/>
                <w:color w:val="000000"/>
              </w:rPr>
            </w:pPr>
            <w:r>
              <w:rPr>
                <w:rFonts w:hint="eastAsia" w:cs="Times New Roman"/>
                <w:bCs/>
                <w:color w:val="000000"/>
              </w:rPr>
              <w:t>投标价格</w:t>
            </w:r>
          </w:p>
        </w:tc>
        <w:tc>
          <w:tcPr>
            <w:tcW w:w="709" w:type="dxa"/>
            <w:tcBorders>
              <w:top w:val="single" w:color="auto" w:sz="4" w:space="0"/>
              <w:left w:val="single" w:color="auto" w:sz="4" w:space="0"/>
              <w:bottom w:val="single" w:color="auto" w:sz="4" w:space="0"/>
              <w:right w:val="single" w:color="auto" w:sz="4" w:space="0"/>
            </w:tcBorders>
            <w:vAlign w:val="center"/>
          </w:tcPr>
          <w:p w14:paraId="78A63D33">
            <w:pPr>
              <w:spacing w:line="360" w:lineRule="auto"/>
              <w:jc w:val="center"/>
              <w:rPr>
                <w:rFonts w:cs="Times New Roman"/>
                <w:bCs/>
                <w:color w:val="000000"/>
              </w:rPr>
            </w:pPr>
            <w:r>
              <w:rPr>
                <w:rFonts w:cs="Times New Roman"/>
                <w:bCs/>
                <w:color w:val="000000"/>
              </w:rPr>
              <w:t>3</w:t>
            </w:r>
            <w:r>
              <w:rPr>
                <w:rFonts w:hint="eastAsia" w:cs="Times New Roman"/>
                <w:bCs/>
                <w:color w:val="000000"/>
              </w:rPr>
              <w:t>0分</w:t>
            </w:r>
          </w:p>
        </w:tc>
        <w:tc>
          <w:tcPr>
            <w:tcW w:w="6095" w:type="dxa"/>
            <w:tcBorders>
              <w:top w:val="single" w:color="auto" w:sz="4" w:space="0"/>
              <w:left w:val="single" w:color="auto" w:sz="4" w:space="0"/>
              <w:bottom w:val="single" w:color="auto" w:sz="4" w:space="0"/>
              <w:right w:val="single" w:color="auto" w:sz="4" w:space="0"/>
            </w:tcBorders>
            <w:vAlign w:val="center"/>
          </w:tcPr>
          <w:p w14:paraId="74BA1A02">
            <w:pPr>
              <w:spacing w:line="360" w:lineRule="auto"/>
              <w:jc w:val="both"/>
              <w:rPr>
                <w:rFonts w:cs="Times New Roman"/>
                <w:bCs/>
                <w:color w:val="000000"/>
              </w:rPr>
            </w:pPr>
            <w:r>
              <w:rPr>
                <w:rFonts w:hint="eastAsia" w:cs="Times New Roman"/>
                <w:bCs/>
                <w:color w:val="000000"/>
              </w:rPr>
              <w:t>满足招标文件要求且投标报价最低的报价为评标基准价，其价格分为满分。其他供应商的价格分统一按照下列公式计算：报价得分=（评标基准价/投标报价）×30%×100。</w:t>
            </w:r>
          </w:p>
          <w:p w14:paraId="46D8267D">
            <w:pPr>
              <w:pStyle w:val="5"/>
              <w:tabs>
                <w:tab w:val="left" w:pos="567"/>
              </w:tabs>
              <w:spacing w:before="0" w:line="360" w:lineRule="auto"/>
              <w:jc w:val="both"/>
              <w:rPr>
                <w:rFonts w:cs="Times New Roman"/>
              </w:rPr>
            </w:pPr>
            <w:r>
              <w:rPr>
                <w:rFonts w:hint="eastAsia" w:cs="Times New Roman"/>
              </w:rPr>
              <w:t>按照国家政策，给予小微企业、监狱企业、残疾人企业10%的投标价格扣除，具体详见附注1.</w:t>
            </w:r>
          </w:p>
        </w:tc>
      </w:tr>
      <w:tr w14:paraId="502A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34" w:type="dxa"/>
            <w:tcBorders>
              <w:top w:val="nil"/>
              <w:left w:val="single" w:color="auto" w:sz="4" w:space="0"/>
              <w:bottom w:val="single" w:color="auto" w:sz="4" w:space="0"/>
              <w:right w:val="single" w:color="auto" w:sz="4" w:space="0"/>
            </w:tcBorders>
            <w:vAlign w:val="center"/>
          </w:tcPr>
          <w:p w14:paraId="064D8260">
            <w:pPr>
              <w:spacing w:line="360" w:lineRule="auto"/>
              <w:jc w:val="center"/>
              <w:rPr>
                <w:rFonts w:cs="Times New Roman"/>
                <w:bCs/>
                <w:color w:val="000000"/>
              </w:rPr>
            </w:pPr>
            <w:r>
              <w:rPr>
                <w:rFonts w:hint="eastAsia" w:cs="Times New Roman"/>
                <w:bCs/>
                <w:color w:val="000000"/>
              </w:rPr>
              <w:t>商务部分</w:t>
            </w:r>
          </w:p>
        </w:tc>
        <w:tc>
          <w:tcPr>
            <w:tcW w:w="1086" w:type="dxa"/>
            <w:tcBorders>
              <w:top w:val="single" w:color="auto" w:sz="4" w:space="0"/>
              <w:left w:val="single" w:color="auto" w:sz="4" w:space="0"/>
              <w:bottom w:val="single" w:color="auto" w:sz="4" w:space="0"/>
              <w:right w:val="single" w:color="auto" w:sz="4" w:space="0"/>
            </w:tcBorders>
            <w:vAlign w:val="center"/>
          </w:tcPr>
          <w:p w14:paraId="1CD22E8C">
            <w:pPr>
              <w:spacing w:line="360" w:lineRule="auto"/>
              <w:jc w:val="center"/>
              <w:rPr>
                <w:rFonts w:cs="Times New Roman"/>
                <w:bCs/>
                <w:color w:val="000000"/>
              </w:rPr>
            </w:pPr>
            <w:r>
              <w:rPr>
                <w:rFonts w:hint="eastAsia" w:cs="Times New Roman"/>
                <w:bCs/>
                <w:color w:val="000000"/>
              </w:rPr>
              <w:t>类似业绩</w:t>
            </w:r>
          </w:p>
        </w:tc>
        <w:tc>
          <w:tcPr>
            <w:tcW w:w="709" w:type="dxa"/>
            <w:tcBorders>
              <w:top w:val="single" w:color="auto" w:sz="4" w:space="0"/>
              <w:left w:val="single" w:color="auto" w:sz="4" w:space="0"/>
              <w:bottom w:val="single" w:color="auto" w:sz="4" w:space="0"/>
              <w:right w:val="single" w:color="auto" w:sz="4" w:space="0"/>
            </w:tcBorders>
            <w:vAlign w:val="center"/>
          </w:tcPr>
          <w:p w14:paraId="5862DF22">
            <w:pPr>
              <w:spacing w:line="360" w:lineRule="auto"/>
              <w:jc w:val="center"/>
              <w:rPr>
                <w:rFonts w:cs="Times New Roman"/>
                <w:bCs/>
                <w:color w:val="000000"/>
              </w:rPr>
            </w:pPr>
            <w:r>
              <w:rPr>
                <w:rFonts w:cs="Times New Roman"/>
                <w:bCs/>
                <w:color w:val="000000"/>
              </w:rPr>
              <w:t>8</w:t>
            </w:r>
            <w:r>
              <w:rPr>
                <w:rFonts w:hint="eastAsia" w:cs="Times New Roman"/>
                <w:bCs/>
                <w:color w:val="000000"/>
              </w:rPr>
              <w:t>分</w:t>
            </w:r>
          </w:p>
        </w:tc>
        <w:tc>
          <w:tcPr>
            <w:tcW w:w="6095" w:type="dxa"/>
            <w:tcBorders>
              <w:top w:val="single" w:color="auto" w:sz="4" w:space="0"/>
              <w:left w:val="single" w:color="auto" w:sz="4" w:space="0"/>
              <w:bottom w:val="single" w:color="auto" w:sz="4" w:space="0"/>
              <w:right w:val="single" w:color="auto" w:sz="4" w:space="0"/>
            </w:tcBorders>
            <w:vAlign w:val="center"/>
          </w:tcPr>
          <w:p w14:paraId="53B60485">
            <w:pPr>
              <w:spacing w:line="360" w:lineRule="auto"/>
              <w:jc w:val="both"/>
              <w:rPr>
                <w:rFonts w:cs="Times New Roman"/>
                <w:bCs/>
                <w:color w:val="000000"/>
              </w:rPr>
            </w:pPr>
            <w:r>
              <w:rPr>
                <w:rFonts w:hint="eastAsia" w:cs="Times New Roman"/>
                <w:bCs/>
                <w:color w:val="000000"/>
              </w:rPr>
              <w:t>投标人提供近三年（202</w:t>
            </w:r>
            <w:r>
              <w:rPr>
                <w:rFonts w:cs="Times New Roman"/>
                <w:bCs/>
                <w:color w:val="000000"/>
              </w:rPr>
              <w:t>3</w:t>
            </w:r>
            <w:r>
              <w:rPr>
                <w:rFonts w:hint="eastAsia" w:cs="Times New Roman"/>
                <w:bCs/>
                <w:color w:val="000000"/>
              </w:rPr>
              <w:t>年</w:t>
            </w:r>
            <w:r>
              <w:rPr>
                <w:rFonts w:hint="eastAsia" w:cs="Times New Roman"/>
                <w:bCs/>
                <w:color w:val="000000"/>
                <w:lang w:val="en-US" w:eastAsia="zh-CN"/>
              </w:rPr>
              <w:t>3</w:t>
            </w:r>
            <w:r>
              <w:rPr>
                <w:rFonts w:hint="eastAsia" w:cs="Times New Roman"/>
                <w:bCs/>
                <w:color w:val="000000"/>
              </w:rPr>
              <w:t>月1日至今）类似业绩（以签订时间为准），每个业绩得</w:t>
            </w:r>
            <w:r>
              <w:rPr>
                <w:rFonts w:cs="Times New Roman"/>
                <w:bCs/>
                <w:color w:val="000000"/>
              </w:rPr>
              <w:t>2</w:t>
            </w:r>
            <w:r>
              <w:rPr>
                <w:rFonts w:hint="eastAsia" w:cs="Times New Roman"/>
                <w:bCs/>
                <w:color w:val="000000"/>
              </w:rPr>
              <w:t>分，最高得</w:t>
            </w:r>
            <w:r>
              <w:rPr>
                <w:rFonts w:cs="Times New Roman"/>
                <w:bCs/>
                <w:color w:val="000000"/>
              </w:rPr>
              <w:t>8</w:t>
            </w:r>
            <w:r>
              <w:rPr>
                <w:rFonts w:hint="eastAsia" w:cs="Times New Roman"/>
                <w:bCs/>
                <w:color w:val="000000"/>
              </w:rPr>
              <w:t>分。须附合同首页、金额部分、签字盖章页、设备清单页（复印件加盖投标人公章）。</w:t>
            </w:r>
          </w:p>
        </w:tc>
      </w:tr>
      <w:tr w14:paraId="288E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34" w:type="dxa"/>
            <w:vMerge w:val="restart"/>
            <w:tcBorders>
              <w:top w:val="nil"/>
              <w:left w:val="single" w:color="auto" w:sz="4" w:space="0"/>
              <w:bottom w:val="single" w:color="auto" w:sz="4" w:space="0"/>
              <w:right w:val="single" w:color="auto" w:sz="4" w:space="0"/>
            </w:tcBorders>
            <w:vAlign w:val="center"/>
          </w:tcPr>
          <w:p w14:paraId="21E0F961">
            <w:pPr>
              <w:spacing w:line="360" w:lineRule="auto"/>
              <w:jc w:val="center"/>
              <w:rPr>
                <w:rFonts w:cs="Times New Roman"/>
                <w:bCs/>
                <w:color w:val="000000"/>
              </w:rPr>
            </w:pPr>
            <w:r>
              <w:rPr>
                <w:rFonts w:hint="eastAsia" w:cs="Times New Roman"/>
                <w:bCs/>
                <w:color w:val="000000"/>
              </w:rPr>
              <w:t>技术部分</w:t>
            </w:r>
          </w:p>
        </w:tc>
        <w:tc>
          <w:tcPr>
            <w:tcW w:w="1086" w:type="dxa"/>
            <w:tcBorders>
              <w:top w:val="single" w:color="auto" w:sz="4" w:space="0"/>
              <w:left w:val="single" w:color="auto" w:sz="4" w:space="0"/>
              <w:bottom w:val="single" w:color="auto" w:sz="4" w:space="0"/>
              <w:right w:val="single" w:color="auto" w:sz="4" w:space="0"/>
            </w:tcBorders>
            <w:vAlign w:val="center"/>
          </w:tcPr>
          <w:p w14:paraId="461865EE">
            <w:pPr>
              <w:spacing w:line="360" w:lineRule="auto"/>
              <w:jc w:val="center"/>
              <w:rPr>
                <w:rFonts w:cs="Times New Roman"/>
                <w:bCs/>
                <w:color w:val="000000"/>
              </w:rPr>
            </w:pPr>
            <w:r>
              <w:rPr>
                <w:rFonts w:hint="eastAsia" w:cs="Times New Roman"/>
                <w:bCs/>
                <w:color w:val="000000"/>
              </w:rPr>
              <w:t>技术指标响应程度</w:t>
            </w:r>
          </w:p>
        </w:tc>
        <w:tc>
          <w:tcPr>
            <w:tcW w:w="709" w:type="dxa"/>
            <w:tcBorders>
              <w:top w:val="single" w:color="auto" w:sz="4" w:space="0"/>
              <w:left w:val="single" w:color="auto" w:sz="4" w:space="0"/>
              <w:bottom w:val="single" w:color="auto" w:sz="4" w:space="0"/>
              <w:right w:val="single" w:color="auto" w:sz="4" w:space="0"/>
            </w:tcBorders>
            <w:vAlign w:val="center"/>
          </w:tcPr>
          <w:p w14:paraId="1D230F24">
            <w:pPr>
              <w:spacing w:line="360" w:lineRule="auto"/>
              <w:jc w:val="center"/>
              <w:rPr>
                <w:rFonts w:cs="Times New Roman"/>
                <w:bCs/>
                <w:color w:val="000000"/>
              </w:rPr>
            </w:pPr>
            <w:r>
              <w:rPr>
                <w:rFonts w:cs="Times New Roman"/>
                <w:bCs/>
                <w:color w:val="000000"/>
              </w:rPr>
              <w:t>39.2</w:t>
            </w:r>
            <w:r>
              <w:rPr>
                <w:rFonts w:hint="eastAsia" w:cs="Times New Roman"/>
                <w:bCs/>
                <w:color w:val="000000"/>
              </w:rPr>
              <w:t>分</w:t>
            </w:r>
          </w:p>
        </w:tc>
        <w:tc>
          <w:tcPr>
            <w:tcW w:w="6095" w:type="dxa"/>
            <w:tcBorders>
              <w:top w:val="single" w:color="auto" w:sz="4" w:space="0"/>
              <w:left w:val="single" w:color="auto" w:sz="4" w:space="0"/>
              <w:bottom w:val="single" w:color="auto" w:sz="4" w:space="0"/>
              <w:right w:val="single" w:color="auto" w:sz="4" w:space="0"/>
            </w:tcBorders>
            <w:vAlign w:val="center"/>
          </w:tcPr>
          <w:p w14:paraId="451689F7">
            <w:pPr>
              <w:spacing w:line="360" w:lineRule="auto"/>
              <w:jc w:val="both"/>
              <w:rPr>
                <w:rFonts w:cs="Times New Roman"/>
                <w:bCs/>
                <w:color w:val="000000"/>
              </w:rPr>
            </w:pPr>
            <w:r>
              <w:rPr>
                <w:rFonts w:hint="eastAsia" w:cs="Times New Roman"/>
                <w:bCs/>
                <w:color w:val="000000"/>
              </w:rPr>
              <w:t>审查投标人对招标文件第四章“</w:t>
            </w:r>
            <w:r>
              <w:rPr>
                <w:rFonts w:hint="eastAsia"/>
                <w:bCs/>
              </w:rPr>
              <w:t>四、设备规格及技术要求”-“主要技术参数”</w:t>
            </w:r>
            <w:r>
              <w:rPr>
                <w:rFonts w:hint="eastAsia" w:cs="Times New Roman"/>
                <w:bCs/>
                <w:color w:val="000000"/>
              </w:rPr>
              <w:t>的响应情况，满分3</w:t>
            </w:r>
            <w:r>
              <w:rPr>
                <w:rFonts w:cs="Times New Roman"/>
                <w:bCs/>
                <w:color w:val="000000"/>
              </w:rPr>
              <w:t>9.2</w:t>
            </w:r>
            <w:r>
              <w:rPr>
                <w:rFonts w:hint="eastAsia" w:cs="Times New Roman"/>
                <w:bCs/>
                <w:color w:val="000000"/>
              </w:rPr>
              <w:t>分。</w:t>
            </w:r>
            <w:r>
              <w:rPr>
                <w:rFonts w:cs="Times New Roman"/>
                <w:bCs/>
                <w:color w:val="000000"/>
              </w:rPr>
              <w:t xml:space="preserve"> </w:t>
            </w:r>
          </w:p>
          <w:p w14:paraId="5C9027D1">
            <w:pPr>
              <w:spacing w:line="360" w:lineRule="auto"/>
              <w:jc w:val="both"/>
              <w:rPr>
                <w:rFonts w:cs="Times New Roman"/>
                <w:bCs/>
                <w:color w:val="000000"/>
              </w:rPr>
            </w:pPr>
            <w:r>
              <w:rPr>
                <w:rFonts w:hint="eastAsia" w:cs="Times New Roman"/>
                <w:bCs/>
                <w:color w:val="000000"/>
              </w:rPr>
              <w:t>1.</w:t>
            </w:r>
            <w:r>
              <w:rPr>
                <w:rFonts w:hint="eastAsia" w:cs="Times New Roman"/>
              </w:rPr>
              <w:t>标记“★”的指标是关键技术条款，不满足该指标项将导致投标被否决（如有）。</w:t>
            </w:r>
          </w:p>
          <w:p w14:paraId="6EE2CB79">
            <w:pPr>
              <w:spacing w:line="360" w:lineRule="auto"/>
              <w:jc w:val="both"/>
              <w:rPr>
                <w:rFonts w:cs="Times New Roman"/>
                <w:bCs/>
                <w:color w:val="000000"/>
              </w:rPr>
            </w:pPr>
            <w:r>
              <w:rPr>
                <w:rFonts w:hint="eastAsia" w:cs="Times New Roman"/>
                <w:bCs/>
                <w:color w:val="000000"/>
              </w:rPr>
              <w:t>2.标记“▲”的指标是重要指标，每有1项负偏离扣</w:t>
            </w:r>
            <w:r>
              <w:rPr>
                <w:rFonts w:cs="Times New Roman"/>
                <w:bCs/>
                <w:color w:val="000000"/>
              </w:rPr>
              <w:t>2</w:t>
            </w:r>
            <w:r>
              <w:rPr>
                <w:rFonts w:hint="eastAsia" w:cs="Times New Roman"/>
                <w:bCs/>
                <w:color w:val="000000"/>
              </w:rPr>
              <w:t>分，共</w:t>
            </w:r>
            <w:r>
              <w:rPr>
                <w:rFonts w:cs="Times New Roman"/>
                <w:bCs/>
                <w:color w:val="000000"/>
              </w:rPr>
              <w:t>15</w:t>
            </w:r>
            <w:r>
              <w:rPr>
                <w:rFonts w:hint="eastAsia" w:cs="Times New Roman"/>
                <w:bCs/>
                <w:color w:val="000000"/>
              </w:rPr>
              <w:t>项；</w:t>
            </w:r>
          </w:p>
          <w:p w14:paraId="1B94181A">
            <w:pPr>
              <w:spacing w:line="360" w:lineRule="auto"/>
              <w:jc w:val="both"/>
              <w:rPr>
                <w:rFonts w:cs="Times New Roman"/>
                <w:bCs/>
                <w:color w:val="000000"/>
              </w:rPr>
            </w:pPr>
            <w:r>
              <w:rPr>
                <w:rFonts w:hint="eastAsia" w:cs="Times New Roman"/>
                <w:bCs/>
                <w:color w:val="000000"/>
              </w:rPr>
              <w:t>3.其它无标记的为一般指标，每有1项负偏离扣</w:t>
            </w:r>
            <w:r>
              <w:rPr>
                <w:rFonts w:cs="Times New Roman"/>
                <w:bCs/>
                <w:color w:val="000000"/>
              </w:rPr>
              <w:t>0.</w:t>
            </w:r>
            <w:r>
              <w:rPr>
                <w:rFonts w:hint="eastAsia" w:cs="Times New Roman"/>
                <w:bCs/>
                <w:color w:val="000000"/>
                <w:lang w:val="en-US" w:eastAsia="zh-CN"/>
              </w:rPr>
              <w:t>18</w:t>
            </w:r>
            <w:r>
              <w:rPr>
                <w:rFonts w:hint="eastAsia" w:cs="Times New Roman"/>
                <w:bCs/>
                <w:color w:val="000000"/>
              </w:rPr>
              <w:t>分，共</w:t>
            </w:r>
            <w:r>
              <w:rPr>
                <w:rFonts w:hint="eastAsia" w:cs="Times New Roman"/>
                <w:bCs/>
                <w:color w:val="000000"/>
                <w:lang w:val="en-US" w:eastAsia="zh-CN"/>
              </w:rPr>
              <w:t>51</w:t>
            </w:r>
            <w:r>
              <w:rPr>
                <w:rFonts w:hint="eastAsia" w:cs="Times New Roman"/>
                <w:bCs/>
                <w:color w:val="000000"/>
              </w:rPr>
              <w:t>项；</w:t>
            </w:r>
          </w:p>
          <w:p w14:paraId="55B7BC39">
            <w:pPr>
              <w:spacing w:line="360" w:lineRule="auto"/>
              <w:jc w:val="both"/>
              <w:rPr>
                <w:rFonts w:cs="Times New Roman"/>
                <w:bCs/>
                <w:color w:val="000000"/>
              </w:rPr>
            </w:pPr>
            <w:r>
              <w:rPr>
                <w:rFonts w:hint="eastAsia" w:cs="Times New Roman"/>
                <w:bCs/>
                <w:color w:val="000000"/>
              </w:rPr>
              <w:t>4.漏报技术条款视为负偏离；</w:t>
            </w:r>
            <w:bookmarkStart w:id="3" w:name="_GoBack"/>
            <w:bookmarkEnd w:id="3"/>
          </w:p>
          <w:p w14:paraId="79C2103A">
            <w:pPr>
              <w:snapToGrid w:val="0"/>
              <w:spacing w:line="312" w:lineRule="auto"/>
              <w:jc w:val="both"/>
              <w:rPr>
                <w:rFonts w:cs="Times New Roman"/>
              </w:rPr>
            </w:pPr>
            <w:r>
              <w:rPr>
                <w:rFonts w:hint="eastAsia" w:cs="Times New Roman"/>
                <w:bCs/>
                <w:color w:val="000000"/>
              </w:rPr>
              <w:t>注：1</w:t>
            </w:r>
            <w:r>
              <w:rPr>
                <w:rFonts w:hint="eastAsia" w:cs="Times New Roman"/>
              </w:rPr>
              <w:t>）投标人需在技术规格偏离表中对第四章-四、设备规格要求“</w:t>
            </w:r>
            <w:r>
              <w:rPr>
                <w:rFonts w:hint="eastAsia" w:cs="Times New Roman"/>
                <w:color w:val="000000"/>
              </w:rPr>
              <w:t>主要技术参数”</w:t>
            </w:r>
            <w:r>
              <w:rPr>
                <w:rFonts w:hint="eastAsia" w:cs="Times New Roman"/>
              </w:rPr>
              <w:t>所有内容进行点对点应答，应在引用本招标文件的基础上,进行逐条逐项答复、说明或解释。漏报技术条款视为负偏离。</w:t>
            </w:r>
          </w:p>
          <w:p w14:paraId="7544FE58">
            <w:pPr>
              <w:snapToGrid w:val="0"/>
              <w:spacing w:line="312" w:lineRule="auto"/>
              <w:jc w:val="both"/>
              <w:rPr>
                <w:rFonts w:cs="Times New Roman"/>
                <w:bCs/>
                <w:color w:val="000000"/>
              </w:rPr>
            </w:pPr>
            <w:r>
              <w:rPr>
                <w:rFonts w:hint="eastAsia" w:cs="Times New Roman"/>
              </w:rPr>
              <w:t>2）</w:t>
            </w:r>
            <w:r>
              <w:rPr>
                <w:rFonts w:hint="eastAsia" w:cs="Times New Roman"/>
                <w:bCs/>
                <w:color w:val="000000"/>
              </w:rPr>
              <w:t>评标委员会对投标人技术响应情况进行评判，要求提供证明材料的，投标人需在投标文件注明证明材料所在页码，以便评标委员会查阅，证明材料不完整、不清晰的视为不满足技术要求。</w:t>
            </w:r>
          </w:p>
          <w:p w14:paraId="2994685B">
            <w:pPr>
              <w:snapToGrid w:val="0"/>
              <w:spacing w:line="312" w:lineRule="auto"/>
              <w:jc w:val="both"/>
              <w:rPr>
                <w:rFonts w:cs="Times New Roman"/>
                <w:bCs/>
                <w:color w:val="000000"/>
              </w:rPr>
            </w:pPr>
            <w:r>
              <w:rPr>
                <w:rFonts w:hint="eastAsia" w:cs="Times New Roman"/>
              </w:rPr>
              <w:t>3）凡标有最低一级序号的指标项即为一项技术条款，无论是否隶属于上一级编号。</w:t>
            </w:r>
          </w:p>
        </w:tc>
      </w:tr>
      <w:tr w14:paraId="0F5A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34" w:type="dxa"/>
            <w:vMerge w:val="continue"/>
            <w:tcBorders>
              <w:top w:val="nil"/>
              <w:left w:val="single" w:color="auto" w:sz="4" w:space="0"/>
              <w:bottom w:val="single" w:color="auto" w:sz="4" w:space="0"/>
              <w:right w:val="single" w:color="auto" w:sz="4" w:space="0"/>
            </w:tcBorders>
            <w:vAlign w:val="center"/>
          </w:tcPr>
          <w:p w14:paraId="05EEE1AB">
            <w:pPr>
              <w:rPr>
                <w:rFonts w:cs="Times New Roman"/>
                <w:bCs/>
                <w:color w:val="000000"/>
              </w:rPr>
            </w:pPr>
            <w:commentRangeStart w:id="0"/>
            <w:commentRangeStart w:id="1"/>
            <w:r>
              <w:rPr>
                <w:rStyle w:val="15"/>
              </w:rPr>
              <w:commentReference w:id="0"/>
            </w:r>
            <w:commentRangeEnd w:id="0"/>
            <w:commentRangeEnd w:id="1"/>
            <w:r>
              <w:rPr>
                <w:rStyle w:val="15"/>
              </w:rPr>
              <w:commentReference w:id="1"/>
            </w:r>
          </w:p>
        </w:tc>
        <w:tc>
          <w:tcPr>
            <w:tcW w:w="1086" w:type="dxa"/>
            <w:tcBorders>
              <w:top w:val="single" w:color="auto" w:sz="4" w:space="0"/>
              <w:left w:val="single" w:color="auto" w:sz="4" w:space="0"/>
              <w:bottom w:val="single" w:color="auto" w:sz="4" w:space="0"/>
              <w:right w:val="single" w:color="auto" w:sz="4" w:space="0"/>
            </w:tcBorders>
            <w:vAlign w:val="center"/>
          </w:tcPr>
          <w:p w14:paraId="64E7D50B">
            <w:pPr>
              <w:spacing w:line="360" w:lineRule="auto"/>
              <w:jc w:val="center"/>
              <w:rPr>
                <w:rFonts w:cs="Times New Roman"/>
                <w:bCs/>
                <w:color w:val="000000"/>
              </w:rPr>
            </w:pPr>
            <w:r>
              <w:rPr>
                <w:rFonts w:hint="eastAsia" w:cs="Times New Roman"/>
                <w:bCs/>
                <w:color w:val="000000"/>
              </w:rPr>
              <w:t>技术方案</w:t>
            </w:r>
          </w:p>
        </w:tc>
        <w:tc>
          <w:tcPr>
            <w:tcW w:w="709" w:type="dxa"/>
            <w:tcBorders>
              <w:top w:val="single" w:color="auto" w:sz="4" w:space="0"/>
              <w:left w:val="single" w:color="auto" w:sz="4" w:space="0"/>
              <w:bottom w:val="single" w:color="auto" w:sz="4" w:space="0"/>
              <w:right w:val="single" w:color="auto" w:sz="4" w:space="0"/>
            </w:tcBorders>
            <w:vAlign w:val="center"/>
          </w:tcPr>
          <w:p w14:paraId="7F724118">
            <w:pPr>
              <w:spacing w:line="360" w:lineRule="auto"/>
              <w:jc w:val="center"/>
              <w:rPr>
                <w:rFonts w:cs="Times New Roman"/>
                <w:bCs/>
                <w:color w:val="000000"/>
              </w:rPr>
            </w:pPr>
            <w:r>
              <w:rPr>
                <w:rFonts w:cs="Times New Roman"/>
                <w:bCs/>
                <w:color w:val="000000"/>
              </w:rPr>
              <w:t>5</w:t>
            </w:r>
            <w:r>
              <w:rPr>
                <w:rFonts w:hint="eastAsia" w:cs="Times New Roman"/>
                <w:bCs/>
                <w:color w:val="000000"/>
              </w:rPr>
              <w:t>分</w:t>
            </w:r>
          </w:p>
        </w:tc>
        <w:tc>
          <w:tcPr>
            <w:tcW w:w="6095" w:type="dxa"/>
            <w:tcBorders>
              <w:top w:val="single" w:color="auto" w:sz="4" w:space="0"/>
              <w:left w:val="single" w:color="auto" w:sz="4" w:space="0"/>
              <w:bottom w:val="single" w:color="auto" w:sz="4" w:space="0"/>
              <w:right w:val="single" w:color="auto" w:sz="4" w:space="0"/>
            </w:tcBorders>
          </w:tcPr>
          <w:p w14:paraId="0D23AC8E">
            <w:pPr>
              <w:spacing w:line="360" w:lineRule="auto"/>
              <w:jc w:val="both"/>
              <w:rPr>
                <w:rFonts w:cs="Times New Roman"/>
              </w:rPr>
            </w:pPr>
            <w:r>
              <w:rPr>
                <w:rFonts w:hint="eastAsia" w:cs="Times New Roman"/>
              </w:rPr>
              <w:t>投标人提供技术方案，包含但不限于背景调研、需求分析、技术路线、详细技术方案等。</w:t>
            </w:r>
          </w:p>
          <w:p w14:paraId="0F7CE4DF">
            <w:pPr>
              <w:spacing w:line="360" w:lineRule="auto"/>
              <w:jc w:val="both"/>
              <w:rPr>
                <w:rFonts w:cs="Times New Roman"/>
              </w:rPr>
            </w:pPr>
            <w:r>
              <w:rPr>
                <w:rFonts w:hint="eastAsia" w:cs="Times New Roman"/>
              </w:rPr>
              <w:t>（1）方案内容完整、针对性强、科学合理、可行性强，有利于项目完成得</w:t>
            </w:r>
            <w:r>
              <w:rPr>
                <w:rFonts w:cs="Times New Roman"/>
              </w:rPr>
              <w:t>5</w:t>
            </w:r>
            <w:r>
              <w:rPr>
                <w:rFonts w:hint="eastAsia" w:cs="Times New Roman"/>
              </w:rPr>
              <w:t>分；</w:t>
            </w:r>
          </w:p>
          <w:p w14:paraId="6B68830C">
            <w:pPr>
              <w:spacing w:line="360" w:lineRule="auto"/>
              <w:jc w:val="both"/>
              <w:rPr>
                <w:rFonts w:cs="Times New Roman"/>
              </w:rPr>
            </w:pPr>
            <w:r>
              <w:rPr>
                <w:rFonts w:hint="eastAsia" w:cs="Times New Roman"/>
              </w:rPr>
              <w:t>（2）方案较完整、有一定针对性、较为合理、有一定可行性，较有利于项目完成得</w:t>
            </w:r>
            <w:r>
              <w:rPr>
                <w:rFonts w:cs="Times New Roman"/>
              </w:rPr>
              <w:t>3</w:t>
            </w:r>
            <w:r>
              <w:rPr>
                <w:rFonts w:hint="eastAsia" w:cs="Times New Roman"/>
              </w:rPr>
              <w:t>分；</w:t>
            </w:r>
          </w:p>
          <w:p w14:paraId="7AA5E4AE">
            <w:pPr>
              <w:spacing w:line="360" w:lineRule="auto"/>
              <w:jc w:val="both"/>
              <w:rPr>
                <w:rFonts w:cs="Times New Roman"/>
              </w:rPr>
            </w:pPr>
            <w:r>
              <w:rPr>
                <w:rFonts w:hint="eastAsia" w:cs="Times New Roman"/>
              </w:rPr>
              <w:t>（3）方案描述不清、针对性不强、存在不合理内容、可行性差，不利于项目完成得</w:t>
            </w:r>
            <w:r>
              <w:rPr>
                <w:rFonts w:cs="Times New Roman"/>
              </w:rPr>
              <w:t>1</w:t>
            </w:r>
            <w:r>
              <w:rPr>
                <w:rFonts w:hint="eastAsia" w:cs="Times New Roman"/>
              </w:rPr>
              <w:t>分；</w:t>
            </w:r>
          </w:p>
          <w:p w14:paraId="2081223D">
            <w:pPr>
              <w:spacing w:line="360" w:lineRule="auto"/>
              <w:rPr>
                <w:rFonts w:cs="Times New Roman"/>
              </w:rPr>
            </w:pPr>
            <w:r>
              <w:rPr>
                <w:rFonts w:hint="eastAsia" w:cs="Times New Roman"/>
              </w:rPr>
              <w:t>（4）未提供项目技术方案不得分。</w:t>
            </w:r>
          </w:p>
        </w:tc>
      </w:tr>
      <w:tr w14:paraId="5CF9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34" w:type="dxa"/>
            <w:vMerge w:val="continue"/>
            <w:tcBorders>
              <w:top w:val="nil"/>
              <w:left w:val="single" w:color="auto" w:sz="4" w:space="0"/>
              <w:bottom w:val="single" w:color="auto" w:sz="4" w:space="0"/>
              <w:right w:val="single" w:color="auto" w:sz="4" w:space="0"/>
            </w:tcBorders>
            <w:vAlign w:val="center"/>
          </w:tcPr>
          <w:p w14:paraId="1BEC8FBA">
            <w:pPr>
              <w:rPr>
                <w:rFonts w:cs="Times New Roman"/>
                <w:bCs/>
                <w:color w:val="000000"/>
              </w:rPr>
            </w:pPr>
          </w:p>
        </w:tc>
        <w:tc>
          <w:tcPr>
            <w:tcW w:w="1086" w:type="dxa"/>
            <w:tcBorders>
              <w:top w:val="single" w:color="auto" w:sz="4" w:space="0"/>
              <w:left w:val="single" w:color="auto" w:sz="4" w:space="0"/>
              <w:bottom w:val="single" w:color="auto" w:sz="4" w:space="0"/>
              <w:right w:val="single" w:color="auto" w:sz="4" w:space="0"/>
            </w:tcBorders>
            <w:vAlign w:val="center"/>
          </w:tcPr>
          <w:p w14:paraId="78CEBBB0">
            <w:pPr>
              <w:spacing w:line="360" w:lineRule="auto"/>
              <w:jc w:val="center"/>
              <w:rPr>
                <w:rFonts w:cs="Times New Roman"/>
                <w:bCs/>
                <w:color w:val="000000"/>
              </w:rPr>
            </w:pPr>
            <w:r>
              <w:rPr>
                <w:rFonts w:hint="eastAsia" w:cs="Times New Roman"/>
                <w:bCs/>
                <w:color w:val="000000"/>
              </w:rPr>
              <w:t>项目实施方案</w:t>
            </w:r>
          </w:p>
        </w:tc>
        <w:tc>
          <w:tcPr>
            <w:tcW w:w="709" w:type="dxa"/>
            <w:tcBorders>
              <w:top w:val="single" w:color="auto" w:sz="4" w:space="0"/>
              <w:left w:val="single" w:color="auto" w:sz="4" w:space="0"/>
              <w:bottom w:val="single" w:color="auto" w:sz="4" w:space="0"/>
              <w:right w:val="single" w:color="auto" w:sz="4" w:space="0"/>
            </w:tcBorders>
            <w:vAlign w:val="center"/>
          </w:tcPr>
          <w:p w14:paraId="7859F4A4">
            <w:pPr>
              <w:spacing w:line="360" w:lineRule="auto"/>
              <w:jc w:val="center"/>
              <w:rPr>
                <w:rFonts w:cs="Times New Roman"/>
                <w:bCs/>
                <w:color w:val="000000"/>
              </w:rPr>
            </w:pPr>
            <w:r>
              <w:rPr>
                <w:rFonts w:cs="Times New Roman"/>
                <w:bCs/>
                <w:color w:val="000000"/>
              </w:rPr>
              <w:t>5</w:t>
            </w:r>
            <w:r>
              <w:rPr>
                <w:rFonts w:hint="eastAsia" w:cs="Times New Roman"/>
                <w:bCs/>
                <w:color w:val="000000"/>
              </w:rPr>
              <w:t>分</w:t>
            </w:r>
          </w:p>
        </w:tc>
        <w:tc>
          <w:tcPr>
            <w:tcW w:w="6095" w:type="dxa"/>
            <w:tcBorders>
              <w:top w:val="single" w:color="auto" w:sz="4" w:space="0"/>
              <w:left w:val="single" w:color="auto" w:sz="4" w:space="0"/>
              <w:bottom w:val="single" w:color="auto" w:sz="4" w:space="0"/>
              <w:right w:val="single" w:color="auto" w:sz="4" w:space="0"/>
            </w:tcBorders>
            <w:vAlign w:val="center"/>
          </w:tcPr>
          <w:p w14:paraId="4AEDDE03">
            <w:pPr>
              <w:spacing w:line="360" w:lineRule="auto"/>
              <w:jc w:val="both"/>
              <w:rPr>
                <w:rFonts w:cs="Times New Roman"/>
                <w:bCs/>
                <w:color w:val="000000"/>
              </w:rPr>
            </w:pPr>
            <w:r>
              <w:rPr>
                <w:rFonts w:hint="eastAsia" w:cs="Times New Roman"/>
                <w:bCs/>
                <w:color w:val="000000"/>
              </w:rPr>
              <w:t>1.项目实施方案完整，供货安装、进度计划、质量管理、风险管理等符合项目特点和实施要求，得</w:t>
            </w:r>
            <w:r>
              <w:rPr>
                <w:rFonts w:cs="Times New Roman"/>
                <w:bCs/>
                <w:color w:val="000000"/>
              </w:rPr>
              <w:t>5</w:t>
            </w:r>
            <w:r>
              <w:rPr>
                <w:rFonts w:hint="eastAsia" w:cs="Times New Roman"/>
                <w:bCs/>
                <w:color w:val="000000"/>
              </w:rPr>
              <w:t>分；</w:t>
            </w:r>
          </w:p>
          <w:p w14:paraId="350FA1CC">
            <w:pPr>
              <w:spacing w:line="360" w:lineRule="auto"/>
              <w:jc w:val="both"/>
              <w:rPr>
                <w:rFonts w:cs="Times New Roman"/>
                <w:bCs/>
                <w:color w:val="000000"/>
              </w:rPr>
            </w:pPr>
            <w:r>
              <w:rPr>
                <w:rFonts w:hint="eastAsia" w:cs="Times New Roman"/>
                <w:bCs/>
                <w:color w:val="000000"/>
              </w:rPr>
              <w:t>2.项目实施方案基本完整，但部分非关键性内容不够齐全完整，得4分；</w:t>
            </w:r>
          </w:p>
          <w:p w14:paraId="53C297F7">
            <w:pPr>
              <w:spacing w:line="360" w:lineRule="auto"/>
              <w:jc w:val="both"/>
              <w:rPr>
                <w:rFonts w:cs="Times New Roman"/>
                <w:bCs/>
                <w:color w:val="000000"/>
              </w:rPr>
            </w:pPr>
            <w:r>
              <w:rPr>
                <w:rFonts w:hint="eastAsia" w:cs="Times New Roman"/>
                <w:bCs/>
                <w:color w:val="000000"/>
              </w:rPr>
              <w:t>3.有项目实施方案，但缺少核心内容的，得2分；</w:t>
            </w:r>
          </w:p>
          <w:p w14:paraId="3F785FA3">
            <w:pPr>
              <w:spacing w:line="360" w:lineRule="auto"/>
              <w:jc w:val="both"/>
              <w:rPr>
                <w:rFonts w:cs="Times New Roman"/>
                <w:bCs/>
                <w:color w:val="000000"/>
              </w:rPr>
            </w:pPr>
            <w:r>
              <w:rPr>
                <w:rFonts w:hint="eastAsia" w:cs="Times New Roman"/>
                <w:bCs/>
                <w:color w:val="000000"/>
              </w:rPr>
              <w:t>4.项目实施方案过于简单，明显缺乏针对性，得1分；</w:t>
            </w:r>
          </w:p>
          <w:p w14:paraId="77557B44">
            <w:pPr>
              <w:spacing w:line="360" w:lineRule="auto"/>
              <w:jc w:val="both"/>
              <w:rPr>
                <w:rFonts w:cs="Times New Roman"/>
                <w:bCs/>
                <w:color w:val="000000"/>
              </w:rPr>
            </w:pPr>
            <w:r>
              <w:rPr>
                <w:rFonts w:hint="eastAsia" w:cs="Times New Roman"/>
                <w:bCs/>
                <w:color w:val="000000"/>
              </w:rPr>
              <w:t>5.未提供，得0分。</w:t>
            </w:r>
          </w:p>
        </w:tc>
      </w:tr>
      <w:tr w14:paraId="4455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1134" w:type="dxa"/>
            <w:vMerge w:val="continue"/>
            <w:tcBorders>
              <w:top w:val="nil"/>
              <w:left w:val="single" w:color="auto" w:sz="4" w:space="0"/>
              <w:bottom w:val="single" w:color="auto" w:sz="4" w:space="0"/>
              <w:right w:val="single" w:color="auto" w:sz="4" w:space="0"/>
            </w:tcBorders>
            <w:vAlign w:val="center"/>
          </w:tcPr>
          <w:p w14:paraId="018AE6CD">
            <w:pPr>
              <w:rPr>
                <w:rFonts w:cs="Times New Roman"/>
                <w:bCs/>
                <w:color w:val="000000"/>
              </w:rPr>
            </w:pPr>
          </w:p>
        </w:tc>
        <w:tc>
          <w:tcPr>
            <w:tcW w:w="1086" w:type="dxa"/>
            <w:tcBorders>
              <w:top w:val="single" w:color="auto" w:sz="4" w:space="0"/>
              <w:left w:val="single" w:color="auto" w:sz="4" w:space="0"/>
              <w:bottom w:val="single" w:color="auto" w:sz="4" w:space="0"/>
              <w:right w:val="single" w:color="auto" w:sz="4" w:space="0"/>
            </w:tcBorders>
            <w:vAlign w:val="center"/>
          </w:tcPr>
          <w:p w14:paraId="639446B4">
            <w:pPr>
              <w:spacing w:line="360" w:lineRule="auto"/>
              <w:jc w:val="center"/>
              <w:rPr>
                <w:rFonts w:cs="Times New Roman"/>
                <w:bCs/>
                <w:color w:val="000000"/>
              </w:rPr>
            </w:pPr>
            <w:r>
              <w:rPr>
                <w:rFonts w:hint="eastAsia" w:cs="Times New Roman"/>
                <w:bCs/>
                <w:color w:val="000000"/>
              </w:rPr>
              <w:t>拟安排的项目负责人情况</w:t>
            </w:r>
          </w:p>
        </w:tc>
        <w:tc>
          <w:tcPr>
            <w:tcW w:w="709" w:type="dxa"/>
            <w:tcBorders>
              <w:top w:val="single" w:color="auto" w:sz="4" w:space="0"/>
              <w:left w:val="single" w:color="auto" w:sz="4" w:space="0"/>
              <w:bottom w:val="single" w:color="auto" w:sz="4" w:space="0"/>
              <w:right w:val="single" w:color="auto" w:sz="4" w:space="0"/>
            </w:tcBorders>
            <w:vAlign w:val="center"/>
          </w:tcPr>
          <w:p w14:paraId="50179A55">
            <w:pPr>
              <w:spacing w:line="360" w:lineRule="auto"/>
              <w:jc w:val="center"/>
              <w:rPr>
                <w:rFonts w:cs="Times New Roman"/>
                <w:bCs/>
                <w:color w:val="000000"/>
              </w:rPr>
            </w:pPr>
            <w:r>
              <w:rPr>
                <w:rFonts w:cs="Times New Roman"/>
                <w:bCs/>
                <w:color w:val="000000"/>
              </w:rPr>
              <w:t>5</w:t>
            </w:r>
            <w:r>
              <w:rPr>
                <w:rFonts w:hint="eastAsia" w:cs="Times New Roman"/>
                <w:bCs/>
                <w:color w:val="000000"/>
              </w:rPr>
              <w:t>分</w:t>
            </w:r>
          </w:p>
        </w:tc>
        <w:tc>
          <w:tcPr>
            <w:tcW w:w="6095" w:type="dxa"/>
            <w:tcBorders>
              <w:top w:val="single" w:color="auto" w:sz="4" w:space="0"/>
              <w:left w:val="single" w:color="auto" w:sz="4" w:space="0"/>
              <w:bottom w:val="single" w:color="000000" w:sz="8" w:space="0"/>
              <w:right w:val="single" w:color="auto" w:sz="4" w:space="0"/>
            </w:tcBorders>
            <w:vAlign w:val="center"/>
          </w:tcPr>
          <w:p w14:paraId="7230A868">
            <w:pPr>
              <w:spacing w:line="360" w:lineRule="auto"/>
              <w:jc w:val="both"/>
              <w:rPr>
                <w:rFonts w:cs="Times New Roman"/>
                <w:bCs/>
                <w:color w:val="000000"/>
              </w:rPr>
            </w:pPr>
            <w:r>
              <w:rPr>
                <w:rFonts w:hint="eastAsia" w:cs="Times New Roman"/>
                <w:bCs/>
                <w:color w:val="000000"/>
              </w:rPr>
              <w:t>审查投标人项目人员安排情况，满分</w:t>
            </w:r>
            <w:r>
              <w:rPr>
                <w:rStyle w:val="15"/>
                <w:sz w:val="24"/>
              </w:rPr>
              <w:t>5</w:t>
            </w:r>
            <w:r>
              <w:rPr>
                <w:rFonts w:hint="eastAsia" w:cs="Times New Roman"/>
                <w:bCs/>
                <w:color w:val="000000"/>
              </w:rPr>
              <w:t>分。为本项目拟安排的项目负责人为投标人自有员工（提供证明），否则该人员情况均不得分。</w:t>
            </w:r>
          </w:p>
          <w:p w14:paraId="6CA99870">
            <w:pPr>
              <w:spacing w:line="360" w:lineRule="auto"/>
              <w:jc w:val="both"/>
              <w:rPr>
                <w:rFonts w:cs="Times New Roman"/>
                <w:bCs/>
                <w:color w:val="000000"/>
              </w:rPr>
            </w:pPr>
            <w:r>
              <w:rPr>
                <w:rFonts w:hint="eastAsia" w:cs="Times New Roman"/>
                <w:bCs/>
                <w:color w:val="000000"/>
              </w:rPr>
              <w:t>1.项目负责人具有电子信息工程或计算机科学</w:t>
            </w:r>
            <w:r>
              <w:rPr>
                <w:rFonts w:cs="Times New Roman"/>
                <w:bCs/>
                <w:color w:val="000000"/>
              </w:rPr>
              <w:t>与技术</w:t>
            </w:r>
            <w:r>
              <w:rPr>
                <w:rFonts w:hint="eastAsia" w:cs="Times New Roman"/>
                <w:bCs/>
                <w:color w:val="000000"/>
              </w:rPr>
              <w:t>或</w:t>
            </w:r>
            <w:r>
              <w:rPr>
                <w:rFonts w:cs="Times New Roman"/>
                <w:bCs/>
                <w:color w:val="000000"/>
              </w:rPr>
              <w:t>机械电子工程</w:t>
            </w:r>
            <w:r>
              <w:rPr>
                <w:rFonts w:hint="eastAsia" w:cs="Times New Roman"/>
                <w:bCs/>
                <w:color w:val="000000"/>
              </w:rPr>
              <w:t>相关专业本科（或以上）学历的得2分。</w:t>
            </w:r>
          </w:p>
          <w:p w14:paraId="2E5D5C38">
            <w:pPr>
              <w:spacing w:line="360" w:lineRule="auto"/>
              <w:jc w:val="both"/>
              <w:rPr>
                <w:rFonts w:cs="Times New Roman"/>
                <w:bCs/>
                <w:color w:val="000000"/>
              </w:rPr>
            </w:pPr>
            <w:r>
              <w:rPr>
                <w:rFonts w:cs="Times New Roman"/>
                <w:bCs/>
                <w:color w:val="000000"/>
              </w:rPr>
              <w:t>2</w:t>
            </w:r>
            <w:r>
              <w:rPr>
                <w:rFonts w:hint="eastAsia" w:cs="Times New Roman"/>
                <w:bCs/>
                <w:color w:val="000000"/>
              </w:rPr>
              <w:t>.除项目负责人外，投标人为本项目安排不少于3名技术服务人员，人员不足的为0分；技术服务人员：具有电子信息工程或计算机科学</w:t>
            </w:r>
            <w:r>
              <w:rPr>
                <w:rFonts w:cs="Times New Roman"/>
                <w:bCs/>
                <w:color w:val="000000"/>
              </w:rPr>
              <w:t>与技术</w:t>
            </w:r>
            <w:r>
              <w:rPr>
                <w:rFonts w:hint="eastAsia" w:cs="Times New Roman"/>
                <w:bCs/>
                <w:color w:val="000000"/>
              </w:rPr>
              <w:t>或</w:t>
            </w:r>
            <w:r>
              <w:rPr>
                <w:rFonts w:cs="Times New Roman"/>
                <w:bCs/>
                <w:color w:val="000000"/>
              </w:rPr>
              <w:t>机械电子工程</w:t>
            </w:r>
            <w:r>
              <w:rPr>
                <w:rFonts w:hint="eastAsia" w:cs="Times New Roman"/>
                <w:bCs/>
                <w:color w:val="000000"/>
              </w:rPr>
              <w:t>相关专业本科（或以上）学历，每有一名得1分，最高得3分。</w:t>
            </w:r>
          </w:p>
          <w:p w14:paraId="5060F42A">
            <w:pPr>
              <w:spacing w:line="360" w:lineRule="auto"/>
              <w:jc w:val="both"/>
              <w:rPr>
                <w:rFonts w:cs="Times New Roman"/>
                <w:bCs/>
                <w:color w:val="000000"/>
              </w:rPr>
            </w:pPr>
            <w:r>
              <w:rPr>
                <w:rFonts w:hint="eastAsia" w:cs="Times New Roman"/>
                <w:bCs/>
                <w:color w:val="000000"/>
              </w:rPr>
              <w:t>注：</w:t>
            </w:r>
          </w:p>
          <w:p w14:paraId="40E70A5E">
            <w:pPr>
              <w:spacing w:line="360" w:lineRule="auto"/>
              <w:jc w:val="both"/>
              <w:rPr>
                <w:rFonts w:cs="Times New Roman"/>
                <w:bCs/>
                <w:color w:val="000000"/>
              </w:rPr>
            </w:pPr>
            <w:r>
              <w:rPr>
                <w:rFonts w:hint="eastAsia" w:cs="Times New Roman"/>
                <w:bCs/>
                <w:color w:val="000000"/>
              </w:rPr>
              <w:t>1）【自有员工证明】要求提供通过投标人缴纳的近三个月（含开标当月）中的任意一个月的社保证明或劳动合同作为证明依据。若为退休返聘人员，提供退休证明和返聘协议。</w:t>
            </w:r>
          </w:p>
          <w:p w14:paraId="7D1AD460">
            <w:pPr>
              <w:spacing w:line="360" w:lineRule="auto"/>
              <w:jc w:val="both"/>
              <w:rPr>
                <w:rFonts w:cs="Times New Roman"/>
                <w:bCs/>
                <w:color w:val="000000"/>
              </w:rPr>
            </w:pPr>
            <w:r>
              <w:rPr>
                <w:rFonts w:hint="eastAsia" w:cs="Times New Roman"/>
                <w:bCs/>
                <w:color w:val="000000"/>
              </w:rPr>
              <w:t>2）以上第1项及第</w:t>
            </w:r>
            <w:r>
              <w:rPr>
                <w:rFonts w:cs="Times New Roman"/>
                <w:bCs/>
                <w:color w:val="000000"/>
              </w:rPr>
              <w:t>2</w:t>
            </w:r>
            <w:r>
              <w:rPr>
                <w:rFonts w:hint="eastAsia" w:cs="Times New Roman"/>
                <w:bCs/>
                <w:color w:val="000000"/>
              </w:rPr>
              <w:t>项评分项：要求提供学历证书。</w:t>
            </w:r>
          </w:p>
          <w:p w14:paraId="32F4BD99">
            <w:pPr>
              <w:spacing w:line="360" w:lineRule="auto"/>
              <w:jc w:val="both"/>
              <w:rPr>
                <w:rFonts w:cs="Times New Roman"/>
                <w:bCs/>
                <w:color w:val="000000"/>
              </w:rPr>
            </w:pPr>
            <w:r>
              <w:rPr>
                <w:rFonts w:hint="eastAsia" w:cs="Times New Roman"/>
                <w:bCs/>
                <w:color w:val="000000"/>
              </w:rPr>
              <w:t>3）评分中出现无证明资料或评标委员会无法凭所提供资料判断是否得分的情况，一律作不得分处理。</w:t>
            </w:r>
          </w:p>
        </w:tc>
      </w:tr>
      <w:tr w14:paraId="4A2F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134" w:type="dxa"/>
            <w:vMerge w:val="continue"/>
            <w:tcBorders>
              <w:top w:val="nil"/>
              <w:left w:val="single" w:color="auto" w:sz="4" w:space="0"/>
              <w:bottom w:val="single" w:color="auto" w:sz="4" w:space="0"/>
              <w:right w:val="single" w:color="auto" w:sz="4" w:space="0"/>
            </w:tcBorders>
            <w:vAlign w:val="center"/>
          </w:tcPr>
          <w:p w14:paraId="089F66A9">
            <w:pPr>
              <w:rPr>
                <w:rFonts w:cs="Times New Roman"/>
                <w:bCs/>
                <w:color w:val="000000"/>
              </w:rPr>
            </w:pPr>
          </w:p>
        </w:tc>
        <w:tc>
          <w:tcPr>
            <w:tcW w:w="1086" w:type="dxa"/>
            <w:tcBorders>
              <w:top w:val="single" w:color="auto" w:sz="4" w:space="0"/>
              <w:left w:val="single" w:color="auto" w:sz="4" w:space="0"/>
              <w:bottom w:val="single" w:color="auto" w:sz="4" w:space="0"/>
              <w:right w:val="single" w:color="auto" w:sz="4" w:space="0"/>
            </w:tcBorders>
            <w:vAlign w:val="center"/>
          </w:tcPr>
          <w:p w14:paraId="6CB22AC8">
            <w:pPr>
              <w:spacing w:line="360" w:lineRule="auto"/>
              <w:jc w:val="center"/>
              <w:rPr>
                <w:rFonts w:cs="Times New Roman"/>
                <w:bCs/>
                <w:color w:val="000000"/>
              </w:rPr>
            </w:pPr>
            <w:r>
              <w:rPr>
                <w:rFonts w:hint="eastAsia" w:cs="Times New Roman"/>
              </w:rPr>
              <w:t>培训方案</w:t>
            </w:r>
          </w:p>
        </w:tc>
        <w:tc>
          <w:tcPr>
            <w:tcW w:w="709" w:type="dxa"/>
            <w:tcBorders>
              <w:top w:val="single" w:color="auto" w:sz="4" w:space="0"/>
              <w:left w:val="single" w:color="auto" w:sz="4" w:space="0"/>
              <w:bottom w:val="single" w:color="auto" w:sz="4" w:space="0"/>
              <w:right w:val="single" w:color="auto" w:sz="4" w:space="0"/>
            </w:tcBorders>
            <w:vAlign w:val="center"/>
          </w:tcPr>
          <w:p w14:paraId="514949C7">
            <w:pPr>
              <w:spacing w:line="360" w:lineRule="auto"/>
              <w:jc w:val="center"/>
              <w:rPr>
                <w:rFonts w:cs="Times New Roman"/>
                <w:bCs/>
                <w:color w:val="000000"/>
              </w:rPr>
            </w:pPr>
            <w:r>
              <w:rPr>
                <w:rFonts w:hint="eastAsia" w:cs="Times New Roman"/>
                <w:bCs/>
                <w:color w:val="000000"/>
              </w:rPr>
              <w:t>3分</w:t>
            </w:r>
          </w:p>
        </w:tc>
        <w:tc>
          <w:tcPr>
            <w:tcW w:w="6095" w:type="dxa"/>
            <w:tcBorders>
              <w:top w:val="single" w:color="auto" w:sz="4" w:space="0"/>
              <w:left w:val="single" w:color="auto" w:sz="4" w:space="0"/>
              <w:bottom w:val="single" w:color="000000" w:sz="8" w:space="0"/>
              <w:right w:val="single" w:color="auto" w:sz="4" w:space="0"/>
            </w:tcBorders>
            <w:vAlign w:val="center"/>
          </w:tcPr>
          <w:p w14:paraId="7797D892">
            <w:pPr>
              <w:spacing w:line="360" w:lineRule="auto"/>
              <w:jc w:val="both"/>
              <w:rPr>
                <w:rFonts w:cs="Times New Roman"/>
              </w:rPr>
            </w:pPr>
            <w:r>
              <w:rPr>
                <w:rFonts w:hint="eastAsia" w:cs="Times New Roman"/>
              </w:rPr>
              <w:t>1.投标人提供包含但不仅限于用户操作和日常保养维护培训等的培训方案，对投标人培训方案中承诺的培训内容、培训课时、培训地点、培训人数等进行评分，培训方案科学完整，培训内容丰富，培训方式（时间、方式）科学明确，可以完全满足采购人需要，得3分；</w:t>
            </w:r>
          </w:p>
          <w:p w14:paraId="062A1D58">
            <w:pPr>
              <w:spacing w:line="360" w:lineRule="auto"/>
              <w:jc w:val="both"/>
              <w:rPr>
                <w:rFonts w:cs="Times New Roman"/>
              </w:rPr>
            </w:pPr>
            <w:r>
              <w:rPr>
                <w:rFonts w:hint="eastAsia" w:cs="Times New Roman"/>
              </w:rPr>
              <w:t>2.培训方案内容明确，培训方式合理，响应采购人培训要求，存在部分非关键性内容表述不完整，得2分；</w:t>
            </w:r>
          </w:p>
          <w:p w14:paraId="7F80DD93">
            <w:pPr>
              <w:spacing w:line="360" w:lineRule="auto"/>
              <w:jc w:val="both"/>
              <w:rPr>
                <w:rFonts w:cs="Times New Roman"/>
              </w:rPr>
            </w:pPr>
            <w:r>
              <w:rPr>
                <w:rFonts w:hint="eastAsia" w:cs="Times New Roman"/>
              </w:rPr>
              <w:t>3.培训方案不全，培训内容单一，培训方式不完整，得1分；</w:t>
            </w:r>
          </w:p>
          <w:p w14:paraId="31EDEC5D">
            <w:pPr>
              <w:spacing w:line="360" w:lineRule="auto"/>
              <w:jc w:val="both"/>
              <w:rPr>
                <w:rFonts w:cs="Times New Roman"/>
                <w:bCs/>
                <w:color w:val="000000"/>
              </w:rPr>
            </w:pPr>
            <w:r>
              <w:rPr>
                <w:rFonts w:hint="eastAsia" w:cs="Times New Roman"/>
              </w:rPr>
              <w:t>4.未提供相关内容的，得0分。</w:t>
            </w:r>
          </w:p>
        </w:tc>
      </w:tr>
      <w:tr w14:paraId="0077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134" w:type="dxa"/>
            <w:vMerge w:val="continue"/>
            <w:tcBorders>
              <w:top w:val="nil"/>
              <w:left w:val="single" w:color="auto" w:sz="4" w:space="0"/>
              <w:bottom w:val="single" w:color="auto" w:sz="4" w:space="0"/>
              <w:right w:val="single" w:color="auto" w:sz="4" w:space="0"/>
            </w:tcBorders>
            <w:vAlign w:val="center"/>
          </w:tcPr>
          <w:p w14:paraId="5B5583F5">
            <w:pPr>
              <w:rPr>
                <w:rFonts w:cs="Times New Roman"/>
                <w:bCs/>
                <w:color w:val="000000"/>
              </w:rPr>
            </w:pPr>
          </w:p>
        </w:tc>
        <w:tc>
          <w:tcPr>
            <w:tcW w:w="1086" w:type="dxa"/>
            <w:tcBorders>
              <w:top w:val="single" w:color="auto" w:sz="4" w:space="0"/>
              <w:left w:val="single" w:color="auto" w:sz="4" w:space="0"/>
              <w:bottom w:val="single" w:color="auto" w:sz="4" w:space="0"/>
              <w:right w:val="single" w:color="auto" w:sz="4" w:space="0"/>
            </w:tcBorders>
            <w:vAlign w:val="center"/>
          </w:tcPr>
          <w:p w14:paraId="6189A5F3">
            <w:pPr>
              <w:spacing w:line="360" w:lineRule="auto"/>
              <w:jc w:val="center"/>
              <w:rPr>
                <w:rFonts w:cs="Times New Roman"/>
                <w:bCs/>
                <w:color w:val="000000"/>
              </w:rPr>
            </w:pPr>
            <w:r>
              <w:rPr>
                <w:rFonts w:hint="eastAsia" w:cs="Times New Roman"/>
                <w:bCs/>
                <w:color w:val="000000"/>
              </w:rPr>
              <w:t>售后服务方案</w:t>
            </w:r>
          </w:p>
        </w:tc>
        <w:tc>
          <w:tcPr>
            <w:tcW w:w="709" w:type="dxa"/>
            <w:tcBorders>
              <w:top w:val="single" w:color="auto" w:sz="4" w:space="0"/>
              <w:left w:val="single" w:color="auto" w:sz="4" w:space="0"/>
              <w:bottom w:val="single" w:color="auto" w:sz="4" w:space="0"/>
              <w:right w:val="single" w:color="auto" w:sz="4" w:space="0"/>
            </w:tcBorders>
            <w:vAlign w:val="center"/>
          </w:tcPr>
          <w:p w14:paraId="035524A5">
            <w:pPr>
              <w:spacing w:line="360" w:lineRule="auto"/>
              <w:jc w:val="center"/>
              <w:rPr>
                <w:rFonts w:cs="Times New Roman"/>
                <w:bCs/>
                <w:color w:val="000000"/>
              </w:rPr>
            </w:pPr>
            <w:r>
              <w:rPr>
                <w:rFonts w:hint="eastAsia" w:cs="Times New Roman"/>
                <w:bCs/>
                <w:color w:val="000000"/>
              </w:rPr>
              <w:t>4分</w:t>
            </w:r>
          </w:p>
        </w:tc>
        <w:tc>
          <w:tcPr>
            <w:tcW w:w="6095" w:type="dxa"/>
            <w:tcBorders>
              <w:top w:val="single" w:color="auto" w:sz="4" w:space="0"/>
              <w:left w:val="single" w:color="auto" w:sz="4" w:space="0"/>
              <w:bottom w:val="single" w:color="auto" w:sz="4" w:space="0"/>
              <w:right w:val="single" w:color="auto" w:sz="4" w:space="0"/>
            </w:tcBorders>
            <w:vAlign w:val="center"/>
          </w:tcPr>
          <w:p w14:paraId="759CFC3E">
            <w:pPr>
              <w:spacing w:line="360" w:lineRule="auto"/>
              <w:jc w:val="both"/>
              <w:rPr>
                <w:rFonts w:cs="Times New Roman"/>
              </w:rPr>
            </w:pPr>
            <w:r>
              <w:rPr>
                <w:rFonts w:hint="eastAsia" w:cs="Times New Roman"/>
              </w:rPr>
              <w:t>1.售后服务方案符合项目特点，产品有原厂售后服务支持，证明材料齐全,售后服务机构、团队配备、配件供应、升级更新、响应时间等合理可行，相关服务内容符合项目特点和采购人的实际使用需求，有对采购人的有实际价值内容的相关售后承诺，得4分；</w:t>
            </w:r>
          </w:p>
          <w:p w14:paraId="6E80B3E2">
            <w:pPr>
              <w:spacing w:line="360" w:lineRule="auto"/>
              <w:jc w:val="both"/>
              <w:rPr>
                <w:rFonts w:cs="Times New Roman"/>
              </w:rPr>
            </w:pPr>
            <w:r>
              <w:rPr>
                <w:rFonts w:hint="eastAsia" w:cs="Times New Roman"/>
              </w:rPr>
              <w:t>2.售后服务方案基本完整，但部分产品相关内容不够齐全，或存在部分措施可行性相对较低，或承诺等相关内容存在明显相对劣势的，得2分；</w:t>
            </w:r>
          </w:p>
          <w:p w14:paraId="53DE1C8E">
            <w:pPr>
              <w:spacing w:line="360" w:lineRule="auto"/>
              <w:jc w:val="both"/>
              <w:rPr>
                <w:rFonts w:cs="Times New Roman"/>
              </w:rPr>
            </w:pPr>
            <w:r>
              <w:rPr>
                <w:rFonts w:hint="eastAsia" w:cs="Times New Roman"/>
              </w:rPr>
              <w:t>3.有售后服务方案，但明显缺少关键内容，缺乏针对性或无相关售后服务承诺的，得1分；</w:t>
            </w:r>
          </w:p>
          <w:p w14:paraId="7C1D9A30">
            <w:pPr>
              <w:spacing w:line="360" w:lineRule="auto"/>
              <w:jc w:val="both"/>
              <w:rPr>
                <w:rFonts w:cs="Times New Roman"/>
                <w:bCs/>
                <w:color w:val="000000"/>
              </w:rPr>
            </w:pPr>
            <w:r>
              <w:rPr>
                <w:rFonts w:hint="eastAsia" w:cs="Times New Roman"/>
              </w:rPr>
              <w:t>4.未提供相关内容的，得0分。</w:t>
            </w:r>
          </w:p>
        </w:tc>
      </w:tr>
      <w:tr w14:paraId="0C20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vMerge w:val="restart"/>
            <w:tcBorders>
              <w:top w:val="nil"/>
              <w:left w:val="single" w:color="auto" w:sz="4" w:space="0"/>
              <w:bottom w:val="single" w:color="auto" w:sz="4" w:space="0"/>
              <w:right w:val="single" w:color="auto" w:sz="4" w:space="0"/>
            </w:tcBorders>
            <w:vAlign w:val="center"/>
          </w:tcPr>
          <w:p w14:paraId="378F0F43">
            <w:pPr>
              <w:spacing w:line="360" w:lineRule="auto"/>
              <w:jc w:val="center"/>
              <w:rPr>
                <w:rFonts w:cs="Times New Roman"/>
                <w:bCs/>
                <w:color w:val="000000"/>
              </w:rPr>
            </w:pPr>
            <w:r>
              <w:rPr>
                <w:rFonts w:hint="eastAsia" w:cs="Times New Roman"/>
                <w:bCs/>
                <w:color w:val="000000"/>
              </w:rPr>
              <w:t>功能政策部分</w:t>
            </w:r>
          </w:p>
        </w:tc>
        <w:tc>
          <w:tcPr>
            <w:tcW w:w="1086" w:type="dxa"/>
            <w:tcBorders>
              <w:top w:val="single" w:color="auto" w:sz="4" w:space="0"/>
              <w:left w:val="single" w:color="auto" w:sz="4" w:space="0"/>
              <w:bottom w:val="single" w:color="auto" w:sz="4" w:space="0"/>
              <w:right w:val="single" w:color="auto" w:sz="4" w:space="0"/>
            </w:tcBorders>
            <w:vAlign w:val="center"/>
          </w:tcPr>
          <w:p w14:paraId="43AEEB5A">
            <w:pPr>
              <w:spacing w:line="360" w:lineRule="auto"/>
              <w:jc w:val="center"/>
              <w:rPr>
                <w:rFonts w:cs="Times New Roman"/>
                <w:bCs/>
                <w:color w:val="000000"/>
              </w:rPr>
            </w:pPr>
            <w:r>
              <w:rPr>
                <w:rFonts w:hint="eastAsia" w:cs="Times New Roman"/>
                <w:bCs/>
                <w:color w:val="000000"/>
              </w:rPr>
              <w:t>环境标志产品</w:t>
            </w:r>
          </w:p>
        </w:tc>
        <w:tc>
          <w:tcPr>
            <w:tcW w:w="709" w:type="dxa"/>
            <w:tcBorders>
              <w:top w:val="single" w:color="auto" w:sz="4" w:space="0"/>
              <w:left w:val="single" w:color="auto" w:sz="4" w:space="0"/>
              <w:bottom w:val="single" w:color="auto" w:sz="4" w:space="0"/>
              <w:right w:val="single" w:color="auto" w:sz="4" w:space="0"/>
            </w:tcBorders>
            <w:vAlign w:val="center"/>
          </w:tcPr>
          <w:p w14:paraId="1701E404">
            <w:pPr>
              <w:spacing w:line="360" w:lineRule="auto"/>
              <w:jc w:val="center"/>
              <w:rPr>
                <w:rFonts w:cs="Times New Roman"/>
                <w:bCs/>
                <w:color w:val="000000"/>
              </w:rPr>
            </w:pPr>
            <w:r>
              <w:rPr>
                <w:rFonts w:hint="eastAsia" w:cs="Times New Roman"/>
                <w:bCs/>
                <w:color w:val="000000"/>
              </w:rPr>
              <w:t>0.</w:t>
            </w:r>
            <w:r>
              <w:rPr>
                <w:rFonts w:cs="Times New Roman"/>
                <w:bCs/>
                <w:color w:val="000000"/>
              </w:rPr>
              <w:t>4</w:t>
            </w:r>
            <w:r>
              <w:rPr>
                <w:rFonts w:hint="eastAsia" w:cs="Times New Roman"/>
                <w:bCs/>
                <w:color w:val="000000"/>
              </w:rPr>
              <w:t>分</w:t>
            </w:r>
          </w:p>
        </w:tc>
        <w:tc>
          <w:tcPr>
            <w:tcW w:w="6095" w:type="dxa"/>
            <w:tcBorders>
              <w:top w:val="single" w:color="auto" w:sz="4" w:space="0"/>
              <w:left w:val="single" w:color="auto" w:sz="4" w:space="0"/>
              <w:bottom w:val="single" w:color="auto" w:sz="4" w:space="0"/>
              <w:right w:val="single" w:color="auto" w:sz="4" w:space="0"/>
            </w:tcBorders>
            <w:vAlign w:val="center"/>
          </w:tcPr>
          <w:p w14:paraId="73A27110">
            <w:pPr>
              <w:spacing w:line="360" w:lineRule="auto"/>
              <w:jc w:val="both"/>
              <w:rPr>
                <w:rFonts w:cs="Times New Roman"/>
                <w:bCs/>
                <w:color w:val="000000"/>
              </w:rPr>
            </w:pPr>
            <w:r>
              <w:rPr>
                <w:rFonts w:hint="eastAsia" w:cs="Times New Roman"/>
                <w:bCs/>
                <w:color w:val="000000"/>
              </w:rPr>
              <w:t>所投产品属于财政部、生态环境部联合发布的《环境标志产品政府采购品目清单》中的产品得0.</w:t>
            </w:r>
            <w:r>
              <w:rPr>
                <w:rFonts w:cs="Times New Roman"/>
                <w:bCs/>
                <w:color w:val="000000"/>
              </w:rPr>
              <w:t>4</w:t>
            </w:r>
            <w:r>
              <w:rPr>
                <w:rFonts w:hint="eastAsia" w:cs="Times New Roman"/>
                <w:bCs/>
                <w:color w:val="000000"/>
              </w:rPr>
              <w:t>分，未提供不得分。提供依据市场监管总局发布的《参与实施政府采购环境标志产品认证机构名录》确定的认证机构出具的、处于有效期之内的环境标志产品认证证书复印件，加盖投标人公章。</w:t>
            </w:r>
          </w:p>
        </w:tc>
      </w:tr>
      <w:tr w14:paraId="37A5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4" w:type="dxa"/>
            <w:vMerge w:val="continue"/>
            <w:tcBorders>
              <w:top w:val="nil"/>
              <w:left w:val="single" w:color="auto" w:sz="4" w:space="0"/>
              <w:bottom w:val="single" w:color="auto" w:sz="4" w:space="0"/>
              <w:right w:val="single" w:color="auto" w:sz="4" w:space="0"/>
            </w:tcBorders>
            <w:vAlign w:val="center"/>
          </w:tcPr>
          <w:p w14:paraId="1FF84777">
            <w:pPr>
              <w:rPr>
                <w:rFonts w:cs="Times New Roman"/>
                <w:bCs/>
                <w:color w:val="000000"/>
              </w:rPr>
            </w:pPr>
          </w:p>
        </w:tc>
        <w:tc>
          <w:tcPr>
            <w:tcW w:w="1086" w:type="dxa"/>
            <w:tcBorders>
              <w:top w:val="single" w:color="auto" w:sz="4" w:space="0"/>
              <w:left w:val="single" w:color="auto" w:sz="4" w:space="0"/>
              <w:bottom w:val="single" w:color="auto" w:sz="4" w:space="0"/>
              <w:right w:val="single" w:color="auto" w:sz="4" w:space="0"/>
            </w:tcBorders>
            <w:vAlign w:val="center"/>
          </w:tcPr>
          <w:p w14:paraId="11B1256C">
            <w:pPr>
              <w:spacing w:line="360" w:lineRule="auto"/>
              <w:jc w:val="center"/>
              <w:rPr>
                <w:rFonts w:cs="Times New Roman"/>
                <w:bCs/>
                <w:color w:val="000000"/>
              </w:rPr>
            </w:pPr>
            <w:r>
              <w:rPr>
                <w:rFonts w:hint="eastAsia" w:cs="Times New Roman"/>
                <w:bCs/>
                <w:color w:val="000000"/>
              </w:rPr>
              <w:t>节能产品</w:t>
            </w:r>
          </w:p>
        </w:tc>
        <w:tc>
          <w:tcPr>
            <w:tcW w:w="709" w:type="dxa"/>
            <w:tcBorders>
              <w:top w:val="single" w:color="auto" w:sz="4" w:space="0"/>
              <w:left w:val="single" w:color="auto" w:sz="4" w:space="0"/>
              <w:bottom w:val="single" w:color="auto" w:sz="4" w:space="0"/>
              <w:right w:val="single" w:color="auto" w:sz="4" w:space="0"/>
            </w:tcBorders>
            <w:vAlign w:val="center"/>
          </w:tcPr>
          <w:p w14:paraId="1361E5EC">
            <w:pPr>
              <w:spacing w:line="360" w:lineRule="auto"/>
              <w:jc w:val="center"/>
              <w:rPr>
                <w:rFonts w:cs="Times New Roman"/>
                <w:bCs/>
                <w:color w:val="000000"/>
              </w:rPr>
            </w:pPr>
            <w:r>
              <w:rPr>
                <w:rFonts w:hint="eastAsia" w:cs="Times New Roman"/>
                <w:bCs/>
                <w:color w:val="000000"/>
              </w:rPr>
              <w:t>0.</w:t>
            </w:r>
            <w:r>
              <w:rPr>
                <w:rFonts w:cs="Times New Roman"/>
                <w:bCs/>
                <w:color w:val="000000"/>
              </w:rPr>
              <w:t>4</w:t>
            </w:r>
            <w:r>
              <w:rPr>
                <w:rFonts w:hint="eastAsia" w:cs="Times New Roman"/>
                <w:bCs/>
                <w:color w:val="000000"/>
              </w:rPr>
              <w:t>分</w:t>
            </w:r>
          </w:p>
        </w:tc>
        <w:tc>
          <w:tcPr>
            <w:tcW w:w="6095" w:type="dxa"/>
            <w:tcBorders>
              <w:top w:val="single" w:color="auto" w:sz="4" w:space="0"/>
              <w:left w:val="single" w:color="auto" w:sz="4" w:space="0"/>
              <w:bottom w:val="single" w:color="auto" w:sz="4" w:space="0"/>
              <w:right w:val="single" w:color="auto" w:sz="4" w:space="0"/>
            </w:tcBorders>
            <w:vAlign w:val="center"/>
          </w:tcPr>
          <w:p w14:paraId="3CDF0003">
            <w:pPr>
              <w:spacing w:line="360" w:lineRule="auto"/>
              <w:jc w:val="both"/>
              <w:rPr>
                <w:rFonts w:cs="Times New Roman"/>
                <w:bCs/>
                <w:color w:val="000000"/>
              </w:rPr>
            </w:pPr>
            <w:r>
              <w:rPr>
                <w:rFonts w:hint="eastAsia" w:cs="Times New Roman"/>
                <w:bCs/>
                <w:color w:val="000000"/>
              </w:rPr>
              <w:t>强制节能产品除外，所投产品属于财政部发展改革委联合发布的《节能产品政府采购品目清单》中的产品得0.</w:t>
            </w:r>
            <w:r>
              <w:rPr>
                <w:rFonts w:cs="Times New Roman"/>
                <w:bCs/>
                <w:color w:val="000000"/>
              </w:rPr>
              <w:t>4</w:t>
            </w:r>
            <w:r>
              <w:rPr>
                <w:rFonts w:hint="eastAsia" w:cs="Times New Roman"/>
                <w:bCs/>
                <w:color w:val="000000"/>
              </w:rPr>
              <w:t>分，未提供不得分。提供依据市场监管总局发布的《参与实施政府采购节能产品认证机构名录》确定的认证机构出具的、处于有效期之内的节能产品认证证书复印件，加盖投标人公章。</w:t>
            </w:r>
          </w:p>
        </w:tc>
      </w:tr>
    </w:tbl>
    <w:p w14:paraId="08A6993E">
      <w:pPr>
        <w:rPr>
          <w:sz w:val="24"/>
          <w:szCs w:val="24"/>
        </w:rPr>
      </w:pPr>
    </w:p>
    <w:p w14:paraId="3E2FA7D4">
      <w:pPr>
        <w:rPr>
          <w:sz w:val="24"/>
          <w:szCs w:val="24"/>
        </w:rPr>
      </w:pPr>
    </w:p>
    <w:p w14:paraId="584A5069">
      <w:pPr>
        <w:rPr>
          <w:sz w:val="24"/>
          <w:szCs w:val="24"/>
        </w:rPr>
      </w:pPr>
    </w:p>
    <w:sectPr>
      <w:footerReference r:id="rId5" w:type="default"/>
      <w:pgSz w:w="11906" w:h="16838"/>
      <w:pgMar w:top="1361" w:right="1361" w:bottom="1361" w:left="1361" w:header="851" w:footer="850"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qf" w:date="2026-02-26T20:26:00Z" w:initials="">
    <w:p w14:paraId="65ACCF60">
      <w:pPr>
        <w:pStyle w:val="4"/>
      </w:pPr>
      <w:r>
        <w:rPr>
          <w:rFonts w:hint="eastAsia"/>
        </w:rPr>
        <w:t>不合理，项目买的的设备，要求设备中的软件具有等保认证与项目实施无必然联系，有明显的指向性</w:t>
      </w:r>
    </w:p>
  </w:comment>
  <w:comment w:id="1" w:author="xiao ma" w:date="2026-02-28T11:03:00Z" w:initials="l">
    <w:p w14:paraId="0F11BB74">
      <w:pPr>
        <w:pStyle w:val="4"/>
      </w:pPr>
      <w:r>
        <w:rPr>
          <w:rFonts w:hint="eastAsia"/>
        </w:rPr>
        <w:t>同意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ACCF60" w15:done="0"/>
  <w15:commentEx w15:paraId="0F11BB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ongti SC Bold">
    <w:altName w:val="宋体"/>
    <w:panose1 w:val="02010800040101010101"/>
    <w:charset w:val="86"/>
    <w:family w:val="auto"/>
    <w:pitch w:val="default"/>
    <w:sig w:usb0="00000000" w:usb1="00000000" w:usb2="00000000" w:usb3="00000000" w:csb0="00040000" w:csb1="00000000"/>
  </w:font>
  <w:font w:name="Songti SC Regular">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8EEA33D">
        <w:pPr>
          <w:pStyle w:val="8"/>
          <w:jc w:val="center"/>
        </w:pPr>
        <w:r>
          <w:rPr>
            <w:lang w:val="zh-CN"/>
          </w:rPr>
          <w:fldChar w:fldCharType="begin"/>
        </w:r>
        <w:r>
          <w:rPr>
            <w:lang w:val="zh-CN"/>
          </w:rPr>
          <w:instrText xml:space="preserve">PAGE   \* MERGEFORMAT</w:instrText>
        </w:r>
        <w:r>
          <w:rPr>
            <w:lang w:val="zh-CN"/>
          </w:rPr>
          <w:fldChar w:fldCharType="separate"/>
        </w:r>
        <w:r>
          <w:rPr>
            <w:lang w:val="zh-CN"/>
          </w:rPr>
          <w:t>5</w:t>
        </w:r>
        <w:r>
          <w:rPr>
            <w:lang w:val="zh-CN"/>
          </w:rPr>
          <w:fldChar w:fldCharType="end"/>
        </w:r>
      </w:p>
    </w:sdtContent>
  </w:sdt>
  <w:p w14:paraId="45F90246">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F2357"/>
    <w:multiLevelType w:val="singleLevel"/>
    <w:tmpl w:val="EDEF2357"/>
    <w:lvl w:ilvl="0" w:tentative="0">
      <w:start w:val="1"/>
      <w:numFmt w:val="decimal"/>
      <w:suff w:val="nothing"/>
      <w:lvlText w:val="%1）"/>
      <w:lvlJc w:val="left"/>
    </w:lvl>
  </w:abstractNum>
  <w:abstractNum w:abstractNumId="1">
    <w:nsid w:val="11534B22"/>
    <w:multiLevelType w:val="multilevel"/>
    <w:tmpl w:val="11534B22"/>
    <w:lvl w:ilvl="0" w:tentative="0">
      <w:start w:val="1"/>
      <w:numFmt w:val="decimal"/>
      <w:lvlText w:val="（%1）"/>
      <w:lvlJc w:val="left"/>
      <w:pPr>
        <w:ind w:left="523" w:hanging="420"/>
      </w:pPr>
      <w:rPr>
        <w:rFonts w:hint="eastAsia"/>
        <w:b w:val="0"/>
        <w:i w:val="0"/>
      </w:rPr>
    </w:lvl>
    <w:lvl w:ilvl="1" w:tentative="0">
      <w:start w:val="1"/>
      <w:numFmt w:val="lowerLetter"/>
      <w:lvlText w:val="%2)"/>
      <w:lvlJc w:val="left"/>
      <w:pPr>
        <w:ind w:left="943" w:hanging="420"/>
      </w:pPr>
    </w:lvl>
    <w:lvl w:ilvl="2" w:tentative="0">
      <w:start w:val="1"/>
      <w:numFmt w:val="lowerRoman"/>
      <w:lvlText w:val="%3."/>
      <w:lvlJc w:val="right"/>
      <w:pPr>
        <w:ind w:left="1363" w:hanging="420"/>
      </w:pPr>
    </w:lvl>
    <w:lvl w:ilvl="3" w:tentative="0">
      <w:start w:val="1"/>
      <w:numFmt w:val="decimal"/>
      <w:lvlText w:val="%4."/>
      <w:lvlJc w:val="left"/>
      <w:pPr>
        <w:ind w:left="1783" w:hanging="420"/>
      </w:pPr>
    </w:lvl>
    <w:lvl w:ilvl="4" w:tentative="0">
      <w:start w:val="1"/>
      <w:numFmt w:val="lowerLetter"/>
      <w:lvlText w:val="%5)"/>
      <w:lvlJc w:val="left"/>
      <w:pPr>
        <w:ind w:left="2203" w:hanging="420"/>
      </w:pPr>
    </w:lvl>
    <w:lvl w:ilvl="5" w:tentative="0">
      <w:start w:val="1"/>
      <w:numFmt w:val="lowerRoman"/>
      <w:lvlText w:val="%6."/>
      <w:lvlJc w:val="right"/>
      <w:pPr>
        <w:ind w:left="2623" w:hanging="420"/>
      </w:pPr>
    </w:lvl>
    <w:lvl w:ilvl="6" w:tentative="0">
      <w:start w:val="1"/>
      <w:numFmt w:val="decimal"/>
      <w:lvlText w:val="%7."/>
      <w:lvlJc w:val="left"/>
      <w:pPr>
        <w:ind w:left="3043" w:hanging="420"/>
      </w:pPr>
    </w:lvl>
    <w:lvl w:ilvl="7" w:tentative="0">
      <w:start w:val="1"/>
      <w:numFmt w:val="lowerLetter"/>
      <w:lvlText w:val="%8)"/>
      <w:lvlJc w:val="left"/>
      <w:pPr>
        <w:ind w:left="3463" w:hanging="420"/>
      </w:pPr>
    </w:lvl>
    <w:lvl w:ilvl="8" w:tentative="0">
      <w:start w:val="1"/>
      <w:numFmt w:val="lowerRoman"/>
      <w:lvlText w:val="%9."/>
      <w:lvlJc w:val="right"/>
      <w:pPr>
        <w:ind w:left="3883" w:hanging="420"/>
      </w:pPr>
    </w:lvl>
  </w:abstractNum>
  <w:abstractNum w:abstractNumId="2">
    <w:nsid w:val="386B2DC6"/>
    <w:multiLevelType w:val="multilevel"/>
    <w:tmpl w:val="386B2DC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7C732B"/>
    <w:multiLevelType w:val="multilevel"/>
    <w:tmpl w:val="537C73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AFB80"/>
    <w:multiLevelType w:val="singleLevel"/>
    <w:tmpl w:val="555AFB80"/>
    <w:lvl w:ilvl="0" w:tentative="0">
      <w:start w:val="2"/>
      <w:numFmt w:val="decimal"/>
      <w:suff w:val="nothing"/>
      <w:lvlText w:val="%1、"/>
      <w:lvlJc w:val="left"/>
      <w:pPr>
        <w:tabs>
          <w:tab w:val="left" w:pos="0"/>
        </w:tabs>
        <w:ind w:left="0" w:firstLine="0"/>
      </w:pPr>
    </w:lvl>
  </w:abstractNum>
  <w:abstractNum w:abstractNumId="5">
    <w:nsid w:val="58EF03BC"/>
    <w:multiLevelType w:val="multilevel"/>
    <w:tmpl w:val="58EF03B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43FA441"/>
    <w:multiLevelType w:val="multilevel"/>
    <w:tmpl w:val="743FA441"/>
    <w:lvl w:ilvl="0" w:tentative="0">
      <w:start w:val="1"/>
      <w:numFmt w:val="decimal"/>
      <w:isLgl/>
      <w:suff w:val="space"/>
      <w:lvlText w:val="%1"/>
      <w:lvlJc w:val="left"/>
      <w:pPr>
        <w:tabs>
          <w:tab w:val="left" w:pos="0"/>
        </w:tabs>
        <w:ind w:left="425" w:hanging="425"/>
      </w:pPr>
      <w:rPr>
        <w:rFonts w:hint="default"/>
      </w:rPr>
    </w:lvl>
    <w:lvl w:ilvl="1" w:tentative="0">
      <w:start w:val="1"/>
      <w:numFmt w:val="decimal"/>
      <w:isLgl/>
      <w:suff w:val="space"/>
      <w:lvlText w:val="%1.%2"/>
      <w:lvlJc w:val="left"/>
      <w:pPr>
        <w:tabs>
          <w:tab w:val="left" w:pos="0"/>
        </w:tabs>
        <w:ind w:left="567" w:hanging="567"/>
      </w:pPr>
      <w:rPr>
        <w:rFonts w:hint="default"/>
      </w:rPr>
    </w:lvl>
    <w:lvl w:ilvl="2" w:tentative="0">
      <w:start w:val="1"/>
      <w:numFmt w:val="decimal"/>
      <w:isLgl/>
      <w:lvlText w:val="%1.%2.%3"/>
      <w:lvlJc w:val="left"/>
      <w:pPr>
        <w:tabs>
          <w:tab w:val="left" w:pos="420"/>
        </w:tabs>
        <w:ind w:left="709" w:hanging="709"/>
      </w:pPr>
      <w:rPr>
        <w:rFonts w:hint="default"/>
      </w:rPr>
    </w:lvl>
    <w:lvl w:ilvl="3" w:tentative="0">
      <w:start w:val="1"/>
      <w:numFmt w:val="decimal"/>
      <w:pStyle w:val="2"/>
      <w:isLgl/>
      <w:suff w:val="space"/>
      <w:lvlText w:val="%1.%2.%3.%4"/>
      <w:lvlJc w:val="left"/>
      <w:pPr>
        <w:tabs>
          <w:tab w:val="left" w:pos="420"/>
        </w:tabs>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7B8D2543"/>
    <w:multiLevelType w:val="multilevel"/>
    <w:tmpl w:val="7B8D254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5"/>
  </w:num>
  <w:num w:numId="4">
    <w:abstractNumId w:val="0"/>
  </w:num>
  <w:num w:numId="5">
    <w:abstractNumId w:val="2"/>
  </w:num>
  <w:num w:numId="6">
    <w:abstractNumId w:val="1"/>
  </w:num>
  <w:num w:numId="7">
    <w:abstractNumId w:val="3"/>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qf">
    <w15:presenceInfo w15:providerId="AD" w15:userId="S::zqf@office365aca.me::253c5c8a-bd77-4369-a604-597a3d79694f"/>
  </w15:person>
  <w15:person w15:author="xiao ma">
    <w15:presenceInfo w15:providerId="Windows Live" w15:userId="8f5bcc0034b426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B614B"/>
    <w:rsid w:val="00082448"/>
    <w:rsid w:val="000B7FD2"/>
    <w:rsid w:val="007F032C"/>
    <w:rsid w:val="00A66F80"/>
    <w:rsid w:val="00D82379"/>
    <w:rsid w:val="038E265E"/>
    <w:rsid w:val="052C7A27"/>
    <w:rsid w:val="072F3410"/>
    <w:rsid w:val="148B614B"/>
    <w:rsid w:val="14924B1B"/>
    <w:rsid w:val="17FD0337"/>
    <w:rsid w:val="187DA6CA"/>
    <w:rsid w:val="1E75059F"/>
    <w:rsid w:val="263B7010"/>
    <w:rsid w:val="2AB65B7C"/>
    <w:rsid w:val="2AFA05D6"/>
    <w:rsid w:val="2DFDAD72"/>
    <w:rsid w:val="2F2F022E"/>
    <w:rsid w:val="366330E1"/>
    <w:rsid w:val="373F135C"/>
    <w:rsid w:val="383A1FF8"/>
    <w:rsid w:val="39810D86"/>
    <w:rsid w:val="3BED42CB"/>
    <w:rsid w:val="3BFB87D3"/>
    <w:rsid w:val="3D3F174E"/>
    <w:rsid w:val="3D8535E9"/>
    <w:rsid w:val="3DFC065E"/>
    <w:rsid w:val="3EBE6A0B"/>
    <w:rsid w:val="3EDC4611"/>
    <w:rsid w:val="3EF70A25"/>
    <w:rsid w:val="3EFE2ED7"/>
    <w:rsid w:val="3F777088"/>
    <w:rsid w:val="3FED5166"/>
    <w:rsid w:val="3FEE50B3"/>
    <w:rsid w:val="406D48B0"/>
    <w:rsid w:val="450456CC"/>
    <w:rsid w:val="48DC582B"/>
    <w:rsid w:val="493F2DA3"/>
    <w:rsid w:val="4C262E88"/>
    <w:rsid w:val="4C8C2593"/>
    <w:rsid w:val="4F6C03FA"/>
    <w:rsid w:val="52A309AB"/>
    <w:rsid w:val="55BF7915"/>
    <w:rsid w:val="55EF2827"/>
    <w:rsid w:val="59F75181"/>
    <w:rsid w:val="5B3EEEA0"/>
    <w:rsid w:val="5BB39A87"/>
    <w:rsid w:val="5BB8AC87"/>
    <w:rsid w:val="5DBF5937"/>
    <w:rsid w:val="5F2E4A4E"/>
    <w:rsid w:val="5F7961DA"/>
    <w:rsid w:val="5FBDFB6E"/>
    <w:rsid w:val="5FFFC6CA"/>
    <w:rsid w:val="60C70EC5"/>
    <w:rsid w:val="657F8050"/>
    <w:rsid w:val="65D4FC7C"/>
    <w:rsid w:val="67EBAB9E"/>
    <w:rsid w:val="6875702B"/>
    <w:rsid w:val="6BEE3528"/>
    <w:rsid w:val="6BEF73CC"/>
    <w:rsid w:val="6D7F679C"/>
    <w:rsid w:val="6DA9D0A1"/>
    <w:rsid w:val="6DAF5ACD"/>
    <w:rsid w:val="6DD13587"/>
    <w:rsid w:val="6DEFFE8D"/>
    <w:rsid w:val="6EE90BEF"/>
    <w:rsid w:val="6EFEACAE"/>
    <w:rsid w:val="6F09BCF0"/>
    <w:rsid w:val="70DA3C32"/>
    <w:rsid w:val="71FBBA3A"/>
    <w:rsid w:val="727114F5"/>
    <w:rsid w:val="729A6B71"/>
    <w:rsid w:val="74FF76CB"/>
    <w:rsid w:val="75CFE9C8"/>
    <w:rsid w:val="76BE285E"/>
    <w:rsid w:val="77BF9C21"/>
    <w:rsid w:val="78FF0B76"/>
    <w:rsid w:val="79FDB689"/>
    <w:rsid w:val="7AFF7999"/>
    <w:rsid w:val="7B2F0BCF"/>
    <w:rsid w:val="7BAF17AC"/>
    <w:rsid w:val="7BB9A61A"/>
    <w:rsid w:val="7BDD14B4"/>
    <w:rsid w:val="7BFBAE2D"/>
    <w:rsid w:val="7C7F73D6"/>
    <w:rsid w:val="7D1F0638"/>
    <w:rsid w:val="7D4AB2BC"/>
    <w:rsid w:val="7D59FE29"/>
    <w:rsid w:val="7D75086D"/>
    <w:rsid w:val="7DDF3851"/>
    <w:rsid w:val="7DE5BE72"/>
    <w:rsid w:val="7DE7A642"/>
    <w:rsid w:val="7DF0172A"/>
    <w:rsid w:val="7EDF536A"/>
    <w:rsid w:val="7EF341AF"/>
    <w:rsid w:val="7EFBA2DB"/>
    <w:rsid w:val="7F0B3B78"/>
    <w:rsid w:val="7F2F56E7"/>
    <w:rsid w:val="7F8F267B"/>
    <w:rsid w:val="7F9F94E0"/>
    <w:rsid w:val="7FB5E917"/>
    <w:rsid w:val="7FB60DF8"/>
    <w:rsid w:val="7FBF2771"/>
    <w:rsid w:val="7FEEAED2"/>
    <w:rsid w:val="7FFAE5BB"/>
    <w:rsid w:val="7FFF94D5"/>
    <w:rsid w:val="8BF9FD9A"/>
    <w:rsid w:val="8D690F97"/>
    <w:rsid w:val="95FE5B8D"/>
    <w:rsid w:val="9CBF387D"/>
    <w:rsid w:val="9DD90107"/>
    <w:rsid w:val="9FF79370"/>
    <w:rsid w:val="A7FF78EF"/>
    <w:rsid w:val="ABE71F92"/>
    <w:rsid w:val="ABEB9CF9"/>
    <w:rsid w:val="B17B61B8"/>
    <w:rsid w:val="B37B24FA"/>
    <w:rsid w:val="B77B8328"/>
    <w:rsid w:val="BDE9FB3E"/>
    <w:rsid w:val="BF3BFF6A"/>
    <w:rsid w:val="BF7BB370"/>
    <w:rsid w:val="BF951721"/>
    <w:rsid w:val="C7EFDCF9"/>
    <w:rsid w:val="CBB796C9"/>
    <w:rsid w:val="CEB9015E"/>
    <w:rsid w:val="D4665F11"/>
    <w:rsid w:val="D6FF7A3A"/>
    <w:rsid w:val="D7F9F5A6"/>
    <w:rsid w:val="D7FFD58B"/>
    <w:rsid w:val="D9B7FFC3"/>
    <w:rsid w:val="D9F726AF"/>
    <w:rsid w:val="DDDF60A3"/>
    <w:rsid w:val="DDECCE38"/>
    <w:rsid w:val="DF584264"/>
    <w:rsid w:val="DF6FAF2C"/>
    <w:rsid w:val="DFCFDB26"/>
    <w:rsid w:val="DFDFB21A"/>
    <w:rsid w:val="DFF6CA1A"/>
    <w:rsid w:val="E73BEA84"/>
    <w:rsid w:val="EABB78EC"/>
    <w:rsid w:val="EDDFEB87"/>
    <w:rsid w:val="EEFFC29C"/>
    <w:rsid w:val="EF9F9616"/>
    <w:rsid w:val="EFAF9D2B"/>
    <w:rsid w:val="EFDD76DA"/>
    <w:rsid w:val="EFFA1D90"/>
    <w:rsid w:val="F3FF22B8"/>
    <w:rsid w:val="F52B3D66"/>
    <w:rsid w:val="F6BFF6B1"/>
    <w:rsid w:val="F7FF15F6"/>
    <w:rsid w:val="F9F72491"/>
    <w:rsid w:val="F9F786DB"/>
    <w:rsid w:val="F9FF48DE"/>
    <w:rsid w:val="FA33F363"/>
    <w:rsid w:val="FB5FB3CF"/>
    <w:rsid w:val="FBFE6134"/>
    <w:rsid w:val="FC37F094"/>
    <w:rsid w:val="FC6F0B35"/>
    <w:rsid w:val="FCFA02BD"/>
    <w:rsid w:val="FCFF543D"/>
    <w:rsid w:val="FD795311"/>
    <w:rsid w:val="FD9F4D06"/>
    <w:rsid w:val="FDEA810D"/>
    <w:rsid w:val="FDEEA945"/>
    <w:rsid w:val="FDEF594D"/>
    <w:rsid w:val="FDFF2A46"/>
    <w:rsid w:val="FE7DE384"/>
    <w:rsid w:val="FEDFD27F"/>
    <w:rsid w:val="FEE7A2D6"/>
    <w:rsid w:val="FEEA7178"/>
    <w:rsid w:val="FEF7AA97"/>
    <w:rsid w:val="FEFDC4F9"/>
    <w:rsid w:val="FF3F4E35"/>
    <w:rsid w:val="FF5B9C94"/>
    <w:rsid w:val="FF5F4B87"/>
    <w:rsid w:val="FF67C6BD"/>
    <w:rsid w:val="FF7FF344"/>
    <w:rsid w:val="FFBB780E"/>
    <w:rsid w:val="FFBDEF83"/>
    <w:rsid w:val="FFC54F8D"/>
    <w:rsid w:val="FFCB862B"/>
    <w:rsid w:val="FFCC3793"/>
    <w:rsid w:val="FFD2CCC9"/>
    <w:rsid w:val="FFEF95E8"/>
    <w:rsid w:val="FFFE58D3"/>
    <w:rsid w:val="FFFF4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numPr>
        <w:ilvl w:val="3"/>
        <w:numId w:val="1"/>
      </w:numPr>
      <w:spacing w:before="0" w:beforeAutospacing="1" w:after="0" w:afterAutospacing="1" w:line="360" w:lineRule="auto"/>
      <w:ind w:left="850" w:hanging="850"/>
      <w:jc w:val="left"/>
      <w:outlineLvl w:val="3"/>
    </w:pPr>
    <w:rPr>
      <w:rFonts w:hint="eastAsia" w:ascii="宋体" w:hAnsi="宋体" w:eastAsia="宋体" w:cs="宋体"/>
      <w:b/>
      <w:bCs/>
      <w:kern w:val="0"/>
      <w:sz w:val="24"/>
      <w:lang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annotation text"/>
    <w:basedOn w:val="1"/>
    <w:semiHidden/>
    <w:unhideWhenUsed/>
    <w:qFormat/>
    <w:uiPriority w:val="99"/>
    <w:pPr>
      <w:jc w:val="left"/>
    </w:pPr>
  </w:style>
  <w:style w:type="paragraph" w:styleId="5">
    <w:name w:val="Body Text"/>
    <w:basedOn w:val="1"/>
    <w:next w:val="1"/>
    <w:qFormat/>
    <w:uiPriority w:val="1"/>
    <w:pPr>
      <w:ind w:left="141"/>
      <w:jc w:val="left"/>
    </w:pPr>
    <w:rPr>
      <w:rFonts w:ascii="宋体" w:hAnsi="宋体"/>
      <w:kern w:val="0"/>
      <w:sz w:val="24"/>
      <w:szCs w:val="24"/>
      <w:lang w:eastAsia="en-US"/>
    </w:rPr>
  </w:style>
  <w:style w:type="paragraph" w:styleId="6">
    <w:name w:val="Plain Text"/>
    <w:basedOn w:val="1"/>
    <w:qFormat/>
    <w:uiPriority w:val="0"/>
    <w:rPr>
      <w:rFonts w:ascii="宋体" w:hAnsi="Courier New"/>
      <w:szCs w:val="20"/>
    </w:rPr>
  </w:style>
  <w:style w:type="paragraph" w:styleId="7">
    <w:name w:val="Body Text Indent 2"/>
    <w:basedOn w:val="1"/>
    <w:qFormat/>
    <w:uiPriority w:val="0"/>
    <w:pPr>
      <w:spacing w:line="360" w:lineRule="auto"/>
      <w:ind w:firstLine="200" w:firstLineChars="200"/>
    </w:pPr>
    <w:rPr>
      <w:rFonts w:eastAsia="仿宋_GB2312"/>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rPr>
      <w:sz w:val="24"/>
    </w:rPr>
  </w:style>
  <w:style w:type="paragraph" w:styleId="10">
    <w:name w:val="annotation subject"/>
    <w:basedOn w:val="4"/>
    <w:next w:val="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paragraph" w:customStyle="1" w:styleId="17">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3341</Words>
  <Characters>4109</Characters>
  <Lines>30</Lines>
  <Paragraphs>8</Paragraphs>
  <TotalTime>4</TotalTime>
  <ScaleCrop>false</ScaleCrop>
  <LinksUpToDate>false</LinksUpToDate>
  <CharactersWithSpaces>4276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2025-09-06T08:29:00Z</dcterms:created>
  <dc:creator>凯凯啊</dc:creator>
  <cp:lastModifiedBy>Kimi</cp:lastModifiedBy>
  <dcterms:modified xsi:type="dcterms:W3CDTF">2026-03-28T10:41:36Z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46F474B42A355ABC15528569F2E8077B_43</vt:lpwstr>
  </property>
  <property fmtid="{D5CDD505-2E9C-101B-9397-08002B2CF9AE}" pid="4" name="KSOTemplateDocerSaveRecord">
    <vt:lpwstr>eyJoZGlkIjoiMzEwNTM5NzYwMDRjMzkwZTVkZjY2ODkwMGIxNGU0OTUiLCJ1c2VySWQiOiIzMDgwNzM2MjgifQ==</vt:lpwstr>
  </property>
</Properties>
</file>