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9E660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上海外国语大学（松江校区）中阿改革发展研究中心项目</w:t>
      </w:r>
    </w:p>
    <w:p w14:paraId="48C7F6C6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卫生竣工验收采购需求</w:t>
      </w:r>
    </w:p>
    <w:p w14:paraId="3A52D42F">
      <w:pPr>
        <w:rPr>
          <w:rFonts w:ascii="宋体" w:hAnsi="宋体" w:eastAsia="宋体"/>
          <w:b/>
          <w:bCs/>
          <w:sz w:val="24"/>
          <w:szCs w:val="24"/>
        </w:rPr>
      </w:pPr>
    </w:p>
    <w:p w14:paraId="16A2E924"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</w:p>
    <w:p w14:paraId="02D6CA4C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项目概况</w:t>
      </w:r>
    </w:p>
    <w:p w14:paraId="5AEF7668">
      <w:pPr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1、项目名称：上海外国语大学（松江校区）中阿改革发展研究中心项目</w:t>
      </w:r>
    </w:p>
    <w:p w14:paraId="081588C9"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2、项目概况：</w:t>
      </w:r>
    </w:p>
    <w:p w14:paraId="3D2D38D7">
      <w:pPr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（1）建设地点：上海市松江区文翔路1550号；</w:t>
      </w:r>
    </w:p>
    <w:p w14:paraId="0AEA52AC">
      <w:pPr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（2）总建筑面积：31,200平方米；</w:t>
      </w:r>
    </w:p>
    <w:p w14:paraId="5A7256C4">
      <w:pPr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（3）总投资额：26,313万元，其中建安造价22,243万元。</w:t>
      </w:r>
    </w:p>
    <w:p w14:paraId="72391929">
      <w:pPr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3、主要建设内容：新建 1 栋地下 1 层、地上 17 层的综合大楼，裙房 2-3 层，同步实施室外总体工程，总建筑面积 31200 平方米，其中地上建筑面积 26108.94 平方米，地下建筑面积 5091.06 平方米。</w:t>
      </w:r>
    </w:p>
    <w:p w14:paraId="7A68EE26"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、项目最高限价：人民币贰拾万元整（小写：200000元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  <w:t>）</w:t>
      </w:r>
    </w:p>
    <w:p w14:paraId="26852144"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5、项目服务周期：自合同签订后直至完成合同所有内容的工作。</w:t>
      </w:r>
    </w:p>
    <w:p w14:paraId="7520CB47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服务内容</w:t>
      </w:r>
    </w:p>
    <w:p w14:paraId="3881E602"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1、二次供水水质检测；</w:t>
      </w:r>
      <w:r>
        <w:rPr>
          <w:rFonts w:hint="eastAsia" w:ascii="宋体" w:hAnsi="宋体" w:eastAsia="宋体" w:cs="宋体"/>
          <w:sz w:val="24"/>
        </w:rPr>
        <w:t>该项目水箱采样 2件，市政对照水样 1 件，本项目合计检测3件水样。</w:t>
      </w:r>
    </w:p>
    <w:p w14:paraId="604C3D9D"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2、通风系统卫生检测；</w:t>
      </w:r>
      <w:r>
        <w:rPr>
          <w:rFonts w:hint="eastAsia" w:ascii="宋体" w:hAnsi="宋体" w:eastAsia="宋体" w:cs="宋体"/>
          <w:sz w:val="24"/>
        </w:rPr>
        <w:t>本项目</w:t>
      </w:r>
      <w:r>
        <w:rPr>
          <w:rFonts w:hint="eastAsia" w:ascii="宋体" w:hAnsi="宋体" w:eastAsia="宋体" w:cs="宋体"/>
          <w:color w:val="000000"/>
          <w:sz w:val="24"/>
        </w:rPr>
        <w:t>拟抽检 2点</w:t>
      </w:r>
      <w:r>
        <w:rPr>
          <w:rFonts w:hint="eastAsia" w:ascii="宋体" w:hAnsi="宋体" w:eastAsia="宋体" w:cs="宋体"/>
          <w:sz w:val="24"/>
        </w:rPr>
        <w:t>。</w:t>
      </w:r>
    </w:p>
    <w:p w14:paraId="2D6FFCB8"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3、编制卫生竣工验收评价报告书；</w:t>
      </w:r>
    </w:p>
    <w:p w14:paraId="52FAFA82"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4、取得卫生验收专家评审通过的意见。</w:t>
      </w:r>
    </w:p>
    <w:p w14:paraId="798B300B"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5、协助业主完成本工程的卫生竣工验收及其配套工作。</w:t>
      </w:r>
    </w:p>
    <w:p w14:paraId="5E8BC006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服务期限</w:t>
      </w:r>
    </w:p>
    <w:p w14:paraId="2600F9CD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自合同签订后直至完成合同所有内容的工作。</w:t>
      </w:r>
    </w:p>
    <w:p w14:paraId="165102C9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bookmarkStart w:id="0" w:name="_Toc334093665"/>
      <w:bookmarkStart w:id="1" w:name="_Toc531447536"/>
      <w:bookmarkStart w:id="2" w:name="_Toc325979547"/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相关</w:t>
      </w:r>
      <w:bookmarkEnd w:id="0"/>
      <w:bookmarkEnd w:id="1"/>
      <w:bookmarkEnd w:id="2"/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执行标准</w:t>
      </w:r>
    </w:p>
    <w:p w14:paraId="056E9F56"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 xml:space="preserve">1、《公共场所卫生指标及限值要求》（GB 37488-2019） </w:t>
      </w:r>
    </w:p>
    <w:p w14:paraId="6AC9669A"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 xml:space="preserve">2、《室内空气质量标准》（GB/T 18883-2022） </w:t>
      </w:r>
    </w:p>
    <w:p w14:paraId="09806EC1"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 xml:space="preserve">3、《公共场所卫生检验方法第 1 部分：物理因素》（GB/T 18204.1-2025） </w:t>
      </w:r>
    </w:p>
    <w:p w14:paraId="340AB85F"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 xml:space="preserve">4、 《公共场所卫生检验方法第 2 部分：化学污染物》（GB/T 18204.2-2025） </w:t>
      </w:r>
    </w:p>
    <w:p w14:paraId="01FC3D0A"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 xml:space="preserve">5、《公共场所卫生检验方法第 5 部分：集中空调通风系统》（GB/T 18204.5-2025） </w:t>
      </w:r>
    </w:p>
    <w:p w14:paraId="214F68DF"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 xml:space="preserve">6、《公共场所卫生检验方法第 6 部分：卫生监测技术规范》（GB/T </w:t>
      </w:r>
    </w:p>
    <w:p w14:paraId="355F8995"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 xml:space="preserve">18204.6-2025） </w:t>
      </w:r>
    </w:p>
    <w:p w14:paraId="292B9035"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 xml:space="preserve">7、《公共场所集中空调通风系统卫生规范》（WS 10013-2023） </w:t>
      </w:r>
    </w:p>
    <w:p w14:paraId="5812F589"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 xml:space="preserve">8、《公共场所集中空调通风系统卫生学评价规范》（WS/T 10004-2023） </w:t>
      </w:r>
    </w:p>
    <w:p w14:paraId="5768E227"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 xml:space="preserve">9、《公共场所集中空调通风系统清洗消毒规范》（WS/T 10005-2023） </w:t>
      </w:r>
    </w:p>
    <w:p w14:paraId="2E643F8E"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10、《集中空调通风系统卫生管理规范》（DB 31/T 405-2021）</w:t>
      </w:r>
    </w:p>
    <w:p w14:paraId="0A8CB97B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bookmarkStart w:id="3" w:name="OLE_LINK11"/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 xml:space="preserve">供应商资格要求 </w:t>
      </w:r>
    </w:p>
    <w:p w14:paraId="50559EE6">
      <w:pPr>
        <w:numPr>
          <w:ilvl w:val="0"/>
          <w:numId w:val="2"/>
        </w:numPr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具有省级（含上海市市级）公共场所卫生服务机构资质考核证书；</w:t>
      </w:r>
    </w:p>
    <w:p w14:paraId="752FEDC9">
      <w:pPr>
        <w:numPr>
          <w:ilvl w:val="0"/>
          <w:numId w:val="2"/>
        </w:numPr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具备有效的工商注册营业执照，具备独立承担民事责任的能力；</w:t>
      </w:r>
    </w:p>
    <w:p w14:paraId="389D1E29">
      <w:pPr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3、本项目不接受联合体报名，禁止转包、分包；</w:t>
      </w:r>
    </w:p>
    <w:p w14:paraId="7E9AD55F">
      <w:pPr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4、单位负责人为同一人或存在直接控股、管理关系的不同供应商，不得参加同一合同项下的采购活动。</w:t>
      </w:r>
    </w:p>
    <w:p w14:paraId="53438961">
      <w:pPr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  <w:lang w:bidi="ar"/>
        </w:rPr>
      </w:pPr>
    </w:p>
    <w:bookmarkEnd w:id="3"/>
    <w:p w14:paraId="5CD3FD66">
      <w:pPr>
        <w:pStyle w:val="42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360" w:lineRule="auto"/>
        <w:jc w:val="both"/>
        <w:rPr>
          <w:b/>
          <w:bCs/>
          <w:color w:val="000000"/>
          <w:sz w:val="28"/>
          <w:szCs w:val="28"/>
          <w:lang w:val="en-US" w:bidi="ar"/>
        </w:rPr>
      </w:pPr>
      <w:r>
        <w:rPr>
          <w:rFonts w:hint="eastAsia"/>
          <w:b/>
          <w:bCs/>
          <w:color w:val="000000"/>
          <w:sz w:val="28"/>
          <w:szCs w:val="28"/>
          <w:lang w:val="en-US" w:bidi="ar"/>
        </w:rPr>
        <w:t>六、商务评审：（0分至30分）</w:t>
      </w:r>
    </w:p>
    <w:tbl>
      <w:tblPr>
        <w:tblStyle w:val="17"/>
        <w:tblW w:w="9383" w:type="dxa"/>
        <w:tblInd w:w="-389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114" w:type="dxa"/>
          <w:left w:w="115" w:type="dxa"/>
          <w:bottom w:w="0" w:type="dxa"/>
          <w:right w:w="115" w:type="dxa"/>
        </w:tblCellMar>
      </w:tblPr>
      <w:tblGrid>
        <w:gridCol w:w="1917"/>
        <w:gridCol w:w="6200"/>
        <w:gridCol w:w="1266"/>
      </w:tblGrid>
      <w:tr w14:paraId="07ABD6F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114" w:type="dxa"/>
            <w:left w:w="115" w:type="dxa"/>
            <w:bottom w:w="0" w:type="dxa"/>
            <w:right w:w="115" w:type="dxa"/>
          </w:tblCellMar>
        </w:tblPrEx>
        <w:trPr>
          <w:tblHeader/>
        </w:trPr>
        <w:tc>
          <w:tcPr>
            <w:tcW w:w="1917" w:type="dxa"/>
            <w:vAlign w:val="center"/>
          </w:tcPr>
          <w:p w14:paraId="4BAD08E5">
            <w:pPr>
              <w:jc w:val="center"/>
              <w:rPr>
                <w:rFonts w:ascii="宋体" w:hAnsi="宋体" w:eastAsia="宋体"/>
                <w:lang w:eastAsia="en-US" w:bidi="en-US"/>
              </w:rPr>
            </w:pPr>
            <w:r>
              <w:rPr>
                <w:rFonts w:ascii="宋体" w:hAnsi="宋体" w:eastAsia="宋体"/>
                <w:lang w:eastAsia="en-US" w:bidi="en-US"/>
              </w:rPr>
              <w:fldChar w:fldCharType="begin"/>
            </w:r>
            <w:r>
              <w:rPr>
                <w:rFonts w:ascii="宋体" w:hAnsi="宋体" w:eastAsia="宋体"/>
                <w:lang w:eastAsia="en-US" w:bidi="en-US"/>
              </w:rPr>
              <w:instrText xml:space="preserve"> MERGEFIELD MF_TB </w:instrText>
            </w:r>
            <w:r>
              <w:rPr>
                <w:rFonts w:ascii="宋体" w:hAnsi="宋体" w:eastAsia="宋体"/>
                <w:lang w:eastAsia="en-US" w:bidi="en-US"/>
              </w:rPr>
              <w:fldChar w:fldCharType="separate"/>
            </w:r>
            <w:r>
              <w:rPr>
                <w:rFonts w:ascii="宋体" w:hAnsi="宋体" w:eastAsia="宋体"/>
                <w:lang w:eastAsia="en-US" w:bidi="en-US"/>
              </w:rPr>
              <w:t>评审因素</w:t>
            </w:r>
            <w:r>
              <w:rPr>
                <w:rFonts w:ascii="宋体" w:hAnsi="宋体" w:eastAsia="宋体"/>
                <w:lang w:eastAsia="en-US" w:bidi="en-US"/>
              </w:rPr>
              <w:fldChar w:fldCharType="end"/>
            </w:r>
          </w:p>
        </w:tc>
        <w:tc>
          <w:tcPr>
            <w:tcW w:w="6200" w:type="dxa"/>
            <w:vAlign w:val="center"/>
          </w:tcPr>
          <w:p w14:paraId="483B2709">
            <w:pPr>
              <w:jc w:val="center"/>
              <w:rPr>
                <w:rFonts w:ascii="宋体" w:hAnsi="宋体" w:eastAsia="宋体"/>
                <w:lang w:eastAsia="en-US" w:bidi="en-US"/>
              </w:rPr>
            </w:pPr>
            <w:r>
              <w:rPr>
                <w:rFonts w:ascii="宋体" w:hAnsi="宋体" w:eastAsia="宋体"/>
                <w:lang w:eastAsia="en-US" w:bidi="en-US"/>
              </w:rPr>
              <w:fldChar w:fldCharType="begin"/>
            </w:r>
            <w:r>
              <w:rPr>
                <w:rFonts w:ascii="宋体" w:hAnsi="宋体" w:eastAsia="宋体"/>
                <w:lang w:eastAsia="en-US" w:bidi="en-US"/>
              </w:rPr>
              <w:instrText xml:space="preserve"> MERGEFIELD MF_TB </w:instrText>
            </w:r>
            <w:r>
              <w:rPr>
                <w:rFonts w:ascii="宋体" w:hAnsi="宋体" w:eastAsia="宋体"/>
                <w:lang w:eastAsia="en-US" w:bidi="en-US"/>
              </w:rPr>
              <w:fldChar w:fldCharType="separate"/>
            </w:r>
            <w:r>
              <w:rPr>
                <w:rFonts w:ascii="宋体" w:hAnsi="宋体" w:eastAsia="宋体"/>
                <w:lang w:eastAsia="en-US" w:bidi="en-US"/>
              </w:rPr>
              <w:t>评审因素细分项</w:t>
            </w:r>
            <w:r>
              <w:rPr>
                <w:rFonts w:ascii="宋体" w:hAnsi="宋体" w:eastAsia="宋体"/>
                <w:lang w:eastAsia="en-US" w:bidi="en-US"/>
              </w:rPr>
              <w:fldChar w:fldCharType="end"/>
            </w:r>
          </w:p>
        </w:tc>
        <w:tc>
          <w:tcPr>
            <w:tcW w:w="1266" w:type="dxa"/>
            <w:vAlign w:val="center"/>
          </w:tcPr>
          <w:p w14:paraId="2055690D">
            <w:pPr>
              <w:jc w:val="center"/>
              <w:rPr>
                <w:rFonts w:ascii="宋体" w:hAnsi="宋体" w:eastAsia="宋体"/>
                <w:lang w:eastAsia="en-US" w:bidi="en-US"/>
              </w:rPr>
            </w:pPr>
            <w:r>
              <w:rPr>
                <w:rFonts w:ascii="宋体" w:hAnsi="宋体" w:eastAsia="宋体"/>
                <w:lang w:eastAsia="en-US" w:bidi="en-US"/>
              </w:rPr>
              <w:fldChar w:fldCharType="begin"/>
            </w:r>
            <w:r>
              <w:rPr>
                <w:rFonts w:ascii="宋体" w:hAnsi="宋体" w:eastAsia="宋体"/>
                <w:lang w:eastAsia="en-US" w:bidi="en-US"/>
              </w:rPr>
              <w:instrText xml:space="preserve"> MERGEFIELD MF_TB </w:instrText>
            </w:r>
            <w:r>
              <w:rPr>
                <w:rFonts w:ascii="宋体" w:hAnsi="宋体" w:eastAsia="宋体"/>
                <w:lang w:eastAsia="en-US" w:bidi="en-US"/>
              </w:rPr>
              <w:fldChar w:fldCharType="separate"/>
            </w:r>
            <w:r>
              <w:rPr>
                <w:rFonts w:ascii="宋体" w:hAnsi="宋体" w:eastAsia="宋体"/>
                <w:lang w:eastAsia="en-US" w:bidi="en-US"/>
              </w:rPr>
              <w:t>分值区间</w:t>
            </w:r>
            <w:r>
              <w:rPr>
                <w:rFonts w:ascii="宋体" w:hAnsi="宋体" w:eastAsia="宋体"/>
                <w:lang w:eastAsia="en-US" w:bidi="en-US"/>
              </w:rPr>
              <w:fldChar w:fldCharType="end"/>
            </w:r>
          </w:p>
        </w:tc>
      </w:tr>
      <w:tr w14:paraId="5ADACD57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114" w:type="dxa"/>
            <w:left w:w="115" w:type="dxa"/>
            <w:bottom w:w="0" w:type="dxa"/>
            <w:right w:w="115" w:type="dxa"/>
          </w:tblCellMar>
        </w:tblPrEx>
        <w:tc>
          <w:tcPr>
            <w:tcW w:w="1917" w:type="dxa"/>
            <w:vAlign w:val="center"/>
          </w:tcPr>
          <w:p w14:paraId="666280E5">
            <w:pPr>
              <w:jc w:val="center"/>
              <w:rPr>
                <w:rFonts w:ascii="宋体" w:hAnsi="宋体" w:eastAsia="宋体"/>
                <w:lang w:eastAsia="en-US" w:bidi="en-US"/>
              </w:rPr>
            </w:pPr>
            <w:r>
              <w:rPr>
                <w:rFonts w:ascii="宋体" w:hAnsi="宋体" w:eastAsia="宋体"/>
                <w:lang w:eastAsia="en-US" w:bidi="en-US"/>
              </w:rPr>
              <w:t>商务标评审</w:t>
            </w:r>
          </w:p>
        </w:tc>
        <w:tc>
          <w:tcPr>
            <w:tcW w:w="6200" w:type="dxa"/>
            <w:vAlign w:val="center"/>
          </w:tcPr>
          <w:p w14:paraId="6BF7AFC0">
            <w:pPr>
              <w:rPr>
                <w:rFonts w:ascii="宋体" w:hAnsi="宋体" w:eastAsia="宋体"/>
                <w:lang w:bidi="en-US"/>
              </w:rPr>
            </w:pPr>
            <w:r>
              <w:rPr>
                <w:rFonts w:hint="eastAsia" w:ascii="宋体" w:hAnsi="宋体" w:cs="宋体"/>
              </w:rPr>
              <w:t>满足比选文件要求且比选价格最低的比选报价为基准价，其价格分为满分30分。其他比选人的比选报价得分计算公式如下：比选报价得分=(评标基准价／比选报价)×价格权值×100</w:t>
            </w:r>
          </w:p>
        </w:tc>
        <w:tc>
          <w:tcPr>
            <w:tcW w:w="1266" w:type="dxa"/>
            <w:vAlign w:val="center"/>
          </w:tcPr>
          <w:p w14:paraId="181E3B6F">
            <w:pPr>
              <w:jc w:val="center"/>
              <w:rPr>
                <w:rFonts w:ascii="宋体" w:hAnsi="宋体" w:eastAsia="宋体"/>
                <w:lang w:eastAsia="en-US" w:bidi="en-US"/>
              </w:rPr>
            </w:pPr>
            <w:r>
              <w:rPr>
                <w:rFonts w:hint="eastAsia" w:ascii="宋体" w:hAnsi="宋体" w:eastAsia="宋体"/>
                <w:lang w:bidi="en-US"/>
              </w:rPr>
              <w:t>0-30</w:t>
            </w:r>
            <w:r>
              <w:rPr>
                <w:rFonts w:hint="eastAsia" w:ascii="宋体" w:hAnsi="宋体" w:eastAsia="宋体"/>
                <w:lang w:eastAsia="en-US" w:bidi="en-US"/>
              </w:rPr>
              <w:t>分</w:t>
            </w:r>
          </w:p>
        </w:tc>
      </w:tr>
    </w:tbl>
    <w:p w14:paraId="17046F67">
      <w:pPr>
        <w:tabs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rPr>
          <w:rFonts w:ascii="宋体" w:hAnsi="宋体" w:eastAsia="宋体"/>
          <w:b/>
          <w:lang w:eastAsia="en-US" w:bidi="en-US"/>
        </w:rPr>
      </w:pPr>
    </w:p>
    <w:p w14:paraId="2032925E">
      <w:pPr>
        <w:pStyle w:val="42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line="360" w:lineRule="auto"/>
        <w:jc w:val="both"/>
        <w:rPr>
          <w:b/>
          <w:bCs/>
          <w:color w:val="000000"/>
          <w:sz w:val="28"/>
          <w:szCs w:val="28"/>
          <w:lang w:val="en-US" w:bidi="ar"/>
        </w:rPr>
      </w:pPr>
      <w:r>
        <w:rPr>
          <w:rFonts w:hint="eastAsia"/>
          <w:b/>
          <w:bCs/>
          <w:color w:val="000000"/>
          <w:sz w:val="28"/>
          <w:szCs w:val="28"/>
          <w:lang w:val="en-US" w:bidi="ar"/>
        </w:rPr>
        <w:t>七、技术标评审（0分至70分）</w:t>
      </w:r>
    </w:p>
    <w:tbl>
      <w:tblPr>
        <w:tblStyle w:val="17"/>
        <w:tblW w:w="9417" w:type="dxa"/>
        <w:tblInd w:w="-389" w:type="dxa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114" w:type="dxa"/>
          <w:left w:w="115" w:type="dxa"/>
          <w:bottom w:w="0" w:type="dxa"/>
          <w:right w:w="115" w:type="dxa"/>
        </w:tblCellMar>
      </w:tblPr>
      <w:tblGrid>
        <w:gridCol w:w="1883"/>
        <w:gridCol w:w="6200"/>
        <w:gridCol w:w="1334"/>
      </w:tblGrid>
      <w:tr w14:paraId="34D561E0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114" w:type="dxa"/>
            <w:left w:w="115" w:type="dxa"/>
            <w:bottom w:w="0" w:type="dxa"/>
            <w:right w:w="115" w:type="dxa"/>
          </w:tblCellMar>
        </w:tblPrEx>
        <w:trPr>
          <w:tblHeader/>
        </w:trPr>
        <w:tc>
          <w:tcPr>
            <w:tcW w:w="1883" w:type="dxa"/>
            <w:vAlign w:val="center"/>
          </w:tcPr>
          <w:p w14:paraId="4F25F2B8">
            <w:pPr>
              <w:jc w:val="center"/>
              <w:rPr>
                <w:rFonts w:ascii="宋体" w:hAnsi="宋体" w:eastAsia="宋体"/>
                <w:lang w:eastAsia="en-US" w:bidi="en-US"/>
              </w:rPr>
            </w:pPr>
            <w:r>
              <w:rPr>
                <w:rFonts w:ascii="宋体" w:hAnsi="宋体" w:eastAsia="宋体"/>
                <w:lang w:eastAsia="en-US" w:bidi="en-US"/>
              </w:rPr>
              <w:fldChar w:fldCharType="begin"/>
            </w:r>
            <w:r>
              <w:rPr>
                <w:rFonts w:ascii="宋体" w:hAnsi="宋体" w:eastAsia="宋体"/>
                <w:lang w:eastAsia="en-US" w:bidi="en-US"/>
              </w:rPr>
              <w:instrText xml:space="preserve"> MERGEFIELD MF_TB </w:instrText>
            </w:r>
            <w:r>
              <w:rPr>
                <w:rFonts w:ascii="宋体" w:hAnsi="宋体" w:eastAsia="宋体"/>
                <w:lang w:eastAsia="en-US" w:bidi="en-US"/>
              </w:rPr>
              <w:fldChar w:fldCharType="separate"/>
            </w:r>
            <w:r>
              <w:rPr>
                <w:rFonts w:ascii="宋体" w:hAnsi="宋体" w:eastAsia="宋体"/>
                <w:lang w:eastAsia="en-US" w:bidi="en-US"/>
              </w:rPr>
              <w:t>评审因素</w:t>
            </w:r>
            <w:r>
              <w:rPr>
                <w:rFonts w:ascii="宋体" w:hAnsi="宋体" w:eastAsia="宋体"/>
                <w:lang w:eastAsia="en-US" w:bidi="en-US"/>
              </w:rPr>
              <w:fldChar w:fldCharType="end"/>
            </w:r>
          </w:p>
        </w:tc>
        <w:tc>
          <w:tcPr>
            <w:tcW w:w="6200" w:type="dxa"/>
            <w:vAlign w:val="center"/>
          </w:tcPr>
          <w:p w14:paraId="7DDD5D20">
            <w:pPr>
              <w:jc w:val="center"/>
              <w:rPr>
                <w:rFonts w:ascii="宋体" w:hAnsi="宋体" w:eastAsia="宋体"/>
                <w:lang w:eastAsia="en-US" w:bidi="en-US"/>
              </w:rPr>
            </w:pPr>
            <w:r>
              <w:rPr>
                <w:rFonts w:ascii="宋体" w:hAnsi="宋体" w:eastAsia="宋体"/>
                <w:lang w:eastAsia="en-US" w:bidi="en-US"/>
              </w:rPr>
              <w:fldChar w:fldCharType="begin"/>
            </w:r>
            <w:r>
              <w:rPr>
                <w:rFonts w:ascii="宋体" w:hAnsi="宋体" w:eastAsia="宋体"/>
                <w:lang w:eastAsia="en-US" w:bidi="en-US"/>
              </w:rPr>
              <w:instrText xml:space="preserve"> MERGEFIELD MF_TB </w:instrText>
            </w:r>
            <w:r>
              <w:rPr>
                <w:rFonts w:ascii="宋体" w:hAnsi="宋体" w:eastAsia="宋体"/>
                <w:lang w:eastAsia="en-US" w:bidi="en-US"/>
              </w:rPr>
              <w:fldChar w:fldCharType="separate"/>
            </w:r>
            <w:r>
              <w:rPr>
                <w:rFonts w:ascii="宋体" w:hAnsi="宋体" w:eastAsia="宋体"/>
                <w:lang w:eastAsia="en-US" w:bidi="en-US"/>
              </w:rPr>
              <w:t>评审因素细分项</w:t>
            </w:r>
            <w:r>
              <w:rPr>
                <w:rFonts w:ascii="宋体" w:hAnsi="宋体" w:eastAsia="宋体"/>
                <w:lang w:eastAsia="en-US" w:bidi="en-US"/>
              </w:rPr>
              <w:fldChar w:fldCharType="end"/>
            </w:r>
          </w:p>
        </w:tc>
        <w:tc>
          <w:tcPr>
            <w:tcW w:w="1334" w:type="dxa"/>
            <w:vAlign w:val="center"/>
          </w:tcPr>
          <w:p w14:paraId="304A7E20">
            <w:pPr>
              <w:jc w:val="center"/>
              <w:rPr>
                <w:rFonts w:ascii="宋体" w:hAnsi="宋体" w:eastAsia="宋体"/>
                <w:lang w:eastAsia="en-US" w:bidi="en-US"/>
              </w:rPr>
            </w:pPr>
            <w:r>
              <w:rPr>
                <w:rFonts w:ascii="宋体" w:hAnsi="宋体" w:eastAsia="宋体"/>
                <w:lang w:eastAsia="en-US" w:bidi="en-US"/>
              </w:rPr>
              <w:fldChar w:fldCharType="begin"/>
            </w:r>
            <w:r>
              <w:rPr>
                <w:rFonts w:ascii="宋体" w:hAnsi="宋体" w:eastAsia="宋体"/>
                <w:lang w:eastAsia="en-US" w:bidi="en-US"/>
              </w:rPr>
              <w:instrText xml:space="preserve"> MERGEFIELD MF_TB </w:instrText>
            </w:r>
            <w:r>
              <w:rPr>
                <w:rFonts w:ascii="宋体" w:hAnsi="宋体" w:eastAsia="宋体"/>
                <w:lang w:eastAsia="en-US" w:bidi="en-US"/>
              </w:rPr>
              <w:fldChar w:fldCharType="separate"/>
            </w:r>
            <w:r>
              <w:rPr>
                <w:rFonts w:ascii="宋体" w:hAnsi="宋体" w:eastAsia="宋体"/>
                <w:lang w:eastAsia="en-US" w:bidi="en-US"/>
              </w:rPr>
              <w:t>分值区间</w:t>
            </w:r>
            <w:r>
              <w:rPr>
                <w:rFonts w:ascii="宋体" w:hAnsi="宋体" w:eastAsia="宋体"/>
                <w:lang w:eastAsia="en-US" w:bidi="en-US"/>
              </w:rPr>
              <w:fldChar w:fldCharType="end"/>
            </w:r>
          </w:p>
        </w:tc>
      </w:tr>
      <w:tr w14:paraId="22C51C7E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114" w:type="dxa"/>
            <w:left w:w="115" w:type="dxa"/>
            <w:bottom w:w="0" w:type="dxa"/>
            <w:right w:w="115" w:type="dxa"/>
          </w:tblCellMar>
        </w:tblPrEx>
        <w:trPr>
          <w:trHeight w:val="847" w:hRule="atLeast"/>
        </w:trPr>
        <w:tc>
          <w:tcPr>
            <w:tcW w:w="1883" w:type="dxa"/>
            <w:vMerge w:val="restart"/>
            <w:vAlign w:val="center"/>
          </w:tcPr>
          <w:p w14:paraId="79189674">
            <w:pPr>
              <w:jc w:val="center"/>
              <w:rPr>
                <w:rFonts w:ascii="宋体" w:hAnsi="宋体" w:eastAsia="宋体"/>
                <w:lang w:eastAsia="en-US" w:bidi="en-US"/>
              </w:rPr>
            </w:pPr>
            <w:r>
              <w:rPr>
                <w:rFonts w:ascii="宋体" w:hAnsi="宋体" w:eastAsia="宋体"/>
                <w:lang w:eastAsia="en-US" w:bidi="en-US"/>
              </w:rPr>
              <w:t>技术标评审</w:t>
            </w:r>
          </w:p>
        </w:tc>
        <w:tc>
          <w:tcPr>
            <w:tcW w:w="6200" w:type="dxa"/>
            <w:shd w:val="clear" w:color="auto" w:fill="auto"/>
            <w:vAlign w:val="center"/>
          </w:tcPr>
          <w:p w14:paraId="33799E1D">
            <w:pPr>
              <w:pStyle w:val="11"/>
            </w:pPr>
            <w:r>
              <w:rPr>
                <w:rFonts w:hint="eastAsia"/>
              </w:rPr>
              <w:t>服务方案编制要求符合可靠、经济原则（方案完整规范、针对性强、满足项目卫生验收需求的得8</w:t>
            </w:r>
            <w:r>
              <w:t>~</w:t>
            </w:r>
            <w:r>
              <w:rPr>
                <w:rFonts w:hint="eastAsia"/>
              </w:rPr>
              <w:t>10分，基本完整、满足验收需求的得4</w:t>
            </w:r>
            <w:r>
              <w:t>~7</w:t>
            </w:r>
            <w:r>
              <w:rPr>
                <w:rFonts w:hint="eastAsia"/>
              </w:rPr>
              <w:t>分，未提供或内容较不完善的得0</w:t>
            </w:r>
            <w:r>
              <w:t>~3</w:t>
            </w:r>
            <w:r>
              <w:rPr>
                <w:rFonts w:hint="eastAsia"/>
              </w:rPr>
              <w:t>分。服务设备满足检测需求的得</w:t>
            </w:r>
            <w:r>
              <w:t>4~</w:t>
            </w:r>
            <w:r>
              <w:rPr>
                <w:rFonts w:hint="eastAsia"/>
              </w:rPr>
              <w:t>5分，未提供或内容较不完善的得0</w:t>
            </w:r>
            <w:r>
              <w:t>~3</w:t>
            </w:r>
            <w:r>
              <w:rPr>
                <w:rFonts w:hint="eastAsia"/>
              </w:rPr>
              <w:t>分。）</w:t>
            </w:r>
          </w:p>
          <w:p w14:paraId="0B105340">
            <w:pPr>
              <w:rPr>
                <w:rFonts w:ascii="宋体" w:hAnsi="宋体" w:cs="宋体"/>
              </w:rPr>
            </w:pPr>
          </w:p>
        </w:tc>
        <w:tc>
          <w:tcPr>
            <w:tcW w:w="1334" w:type="dxa"/>
            <w:vAlign w:val="center"/>
          </w:tcPr>
          <w:p w14:paraId="1B3A330C">
            <w:pPr>
              <w:jc w:val="center"/>
              <w:rPr>
                <w:rFonts w:ascii="宋体" w:hAnsi="宋体" w:eastAsia="宋体"/>
                <w:lang w:eastAsia="en-US" w:bidi="en-US"/>
              </w:rPr>
            </w:pPr>
            <w:r>
              <w:rPr>
                <w:rFonts w:hint="eastAsia" w:ascii="宋体" w:hAnsi="宋体" w:eastAsia="宋体"/>
                <w:lang w:bidi="en-US"/>
              </w:rPr>
              <w:t>0-15</w:t>
            </w:r>
            <w:r>
              <w:rPr>
                <w:rFonts w:hint="eastAsia" w:ascii="宋体" w:hAnsi="宋体" w:eastAsia="宋体"/>
                <w:lang w:eastAsia="en-US" w:bidi="en-US"/>
              </w:rPr>
              <w:t>分</w:t>
            </w:r>
          </w:p>
        </w:tc>
      </w:tr>
      <w:tr w14:paraId="1A47DECB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114" w:type="dxa"/>
            <w:left w:w="115" w:type="dxa"/>
            <w:bottom w:w="0" w:type="dxa"/>
            <w:right w:w="115" w:type="dxa"/>
          </w:tblCellMar>
        </w:tblPrEx>
        <w:trPr>
          <w:trHeight w:val="589" w:hRule="atLeast"/>
        </w:trPr>
        <w:tc>
          <w:tcPr>
            <w:tcW w:w="1883" w:type="dxa"/>
            <w:vMerge w:val="continue"/>
            <w:vAlign w:val="center"/>
          </w:tcPr>
          <w:p w14:paraId="7EE2CC09">
            <w:pPr>
              <w:pStyle w:val="42"/>
              <w:spacing w:line="360" w:lineRule="auto"/>
              <w:jc w:val="center"/>
            </w:pPr>
          </w:p>
        </w:tc>
        <w:tc>
          <w:tcPr>
            <w:tcW w:w="6200" w:type="dxa"/>
            <w:shd w:val="clear" w:color="auto" w:fill="auto"/>
            <w:vAlign w:val="center"/>
          </w:tcPr>
          <w:p w14:paraId="0213F708">
            <w:pPr>
              <w:pStyle w:val="11"/>
              <w:rPr>
                <w:rFonts w:ascii="宋体" w:hAnsi="宋体" w:cs="宋体"/>
              </w:rPr>
            </w:pPr>
            <w:r>
              <w:rPr>
                <w:rFonts w:hint="eastAsia"/>
              </w:rPr>
              <w:t>称职的项目负责人5分（高级工程师职称且5年以上工作经验得5分，仅具有高级工程师职称的得4分，具有中级职称且工作经验满足的得3分，仅具有中级职称的得2分，仅工作经验满足的得1分，以上均不满足得0分)。强有力的项目管理班子5分（配备专职技术、质量、安全负责人，具有中级及以上职称的得4</w:t>
            </w:r>
            <w:r>
              <w:t>~</w:t>
            </w:r>
            <w:r>
              <w:rPr>
                <w:rFonts w:hint="eastAsia"/>
              </w:rPr>
              <w:t>5分，管理班子配置不全或职称资质不足的得0</w:t>
            </w:r>
            <w:r>
              <w:t>~3</w:t>
            </w:r>
            <w:r>
              <w:rPr>
                <w:rFonts w:hint="eastAsia"/>
              </w:rPr>
              <w:t>分)。充足的检测人员配备5分（配备专职检测人员&gt;3人且持证率&gt;60%的得4</w:t>
            </w:r>
            <w:r>
              <w:t>~</w:t>
            </w:r>
            <w:r>
              <w:rPr>
                <w:rFonts w:hint="eastAsia"/>
              </w:rPr>
              <w:t>5分，人数或持证率不足的得0</w:t>
            </w:r>
            <w:r>
              <w:t>~3</w:t>
            </w:r>
            <w:r>
              <w:rPr>
                <w:rFonts w:hint="eastAsia"/>
              </w:rPr>
              <w:t>分)。</w:t>
            </w:r>
          </w:p>
        </w:tc>
        <w:tc>
          <w:tcPr>
            <w:tcW w:w="1334" w:type="dxa"/>
            <w:vAlign w:val="center"/>
          </w:tcPr>
          <w:p w14:paraId="54E61887">
            <w:pPr>
              <w:jc w:val="center"/>
              <w:rPr>
                <w:rFonts w:ascii="宋体" w:hAnsi="宋体" w:eastAsia="宋体"/>
                <w:lang w:eastAsia="en-US" w:bidi="en-US"/>
              </w:rPr>
            </w:pPr>
            <w:r>
              <w:rPr>
                <w:rFonts w:hint="eastAsia" w:ascii="宋体" w:hAnsi="宋体" w:eastAsia="宋体"/>
                <w:lang w:bidi="en-US"/>
              </w:rPr>
              <w:t>0-15</w:t>
            </w:r>
            <w:r>
              <w:rPr>
                <w:rFonts w:hint="eastAsia" w:ascii="宋体" w:hAnsi="宋体" w:eastAsia="宋体"/>
                <w:lang w:eastAsia="en-US" w:bidi="en-US"/>
              </w:rPr>
              <w:t>分</w:t>
            </w:r>
          </w:p>
        </w:tc>
      </w:tr>
      <w:tr w14:paraId="65CA9265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114" w:type="dxa"/>
            <w:left w:w="115" w:type="dxa"/>
            <w:bottom w:w="0" w:type="dxa"/>
            <w:right w:w="115" w:type="dxa"/>
          </w:tblCellMar>
        </w:tblPrEx>
        <w:trPr>
          <w:trHeight w:val="375" w:hRule="atLeast"/>
        </w:trPr>
        <w:tc>
          <w:tcPr>
            <w:tcW w:w="1883" w:type="dxa"/>
            <w:vMerge w:val="continue"/>
            <w:vAlign w:val="center"/>
          </w:tcPr>
          <w:p w14:paraId="523ACCDD">
            <w:pPr>
              <w:pStyle w:val="42"/>
              <w:spacing w:line="360" w:lineRule="auto"/>
              <w:jc w:val="center"/>
            </w:pPr>
          </w:p>
        </w:tc>
        <w:tc>
          <w:tcPr>
            <w:tcW w:w="620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4D22030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服务质量保障措施及服务承诺（</w:t>
            </w:r>
            <w:r>
              <w:rPr>
                <w:rFonts w:hint="eastAsia" w:ascii="宋体" w:hAnsi="宋体" w:cs="宋体"/>
                <w:kern w:val="0"/>
                <w:szCs w:val="21"/>
              </w:rPr>
              <w:t>质量保证措施科学、</w:t>
            </w:r>
            <w:r>
              <w:rPr>
                <w:rFonts w:hint="eastAsia" w:ascii="宋体" w:hAnsi="宋体" w:cs="宋体"/>
                <w:szCs w:val="21"/>
              </w:rPr>
              <w:t>服务承诺</w:t>
            </w:r>
            <w:r>
              <w:rPr>
                <w:rFonts w:hint="eastAsia" w:ascii="宋体" w:hAnsi="宋体" w:cs="宋体"/>
                <w:kern w:val="0"/>
                <w:szCs w:val="21"/>
              </w:rPr>
              <w:t>可行、全面的得8</w:t>
            </w:r>
            <w:r>
              <w:rPr>
                <w:rFonts w:hint="eastAsia" w:hAnsi="宋体" w:cs="宋体"/>
              </w:rPr>
              <w:t>~</w:t>
            </w:r>
            <w:r>
              <w:rPr>
                <w:rFonts w:hint="eastAsia" w:ascii="宋体" w:hAnsi="宋体" w:cs="宋体"/>
                <w:kern w:val="0"/>
                <w:szCs w:val="21"/>
              </w:rPr>
              <w:t>10分</w:t>
            </w:r>
            <w:r>
              <w:rPr>
                <w:rFonts w:hint="eastAsia" w:ascii="宋体" w:hAnsi="宋体" w:cs="宋体"/>
                <w:szCs w:val="21"/>
              </w:rPr>
              <w:t>，基本</w:t>
            </w:r>
            <w:r>
              <w:rPr>
                <w:rFonts w:hint="eastAsia" w:ascii="宋体" w:hAnsi="宋体" w:cs="宋体"/>
                <w:kern w:val="0"/>
                <w:szCs w:val="21"/>
              </w:rPr>
              <w:t>可行得4</w:t>
            </w:r>
            <w:r>
              <w:rPr>
                <w:rFonts w:hint="eastAsia" w:hAnsi="宋体" w:cs="宋体"/>
              </w:rPr>
              <w:t>~</w:t>
            </w:r>
            <w:r>
              <w:rPr>
                <w:rFonts w:hint="eastAsia" w:ascii="宋体" w:hAnsi="宋体" w:cs="宋体"/>
                <w:kern w:val="0"/>
                <w:szCs w:val="21"/>
              </w:rPr>
              <w:t>7分</w:t>
            </w:r>
            <w:r>
              <w:rPr>
                <w:rFonts w:hint="eastAsia" w:hAnsi="宋体" w:cs="宋体"/>
              </w:rPr>
              <w:t>，</w:t>
            </w:r>
            <w:r>
              <w:rPr>
                <w:rFonts w:hint="eastAsia"/>
              </w:rPr>
              <w:t>未提供或</w:t>
            </w:r>
            <w:r>
              <w:rPr>
                <w:rFonts w:hint="eastAsia" w:ascii="宋体" w:hAnsi="宋体" w:cs="宋体"/>
                <w:kern w:val="0"/>
                <w:szCs w:val="21"/>
              </w:rPr>
              <w:t>质量保证措施较差的得0</w:t>
            </w:r>
            <w:r>
              <w:rPr>
                <w:rFonts w:hint="eastAsia" w:hAnsi="宋体" w:cs="宋体"/>
              </w:rPr>
              <w:t>~</w:t>
            </w:r>
            <w:r>
              <w:rPr>
                <w:rFonts w:hint="eastAsia" w:ascii="宋体" w:hAnsi="宋体" w:cs="宋体"/>
                <w:kern w:val="0"/>
                <w:szCs w:val="21"/>
              </w:rPr>
              <w:t>3分</w:t>
            </w:r>
            <w:r>
              <w:rPr>
                <w:rFonts w:hint="eastAsia"/>
              </w:rPr>
              <w:t>。）</w:t>
            </w:r>
          </w:p>
        </w:tc>
        <w:tc>
          <w:tcPr>
            <w:tcW w:w="1334" w:type="dxa"/>
            <w:tcBorders>
              <w:bottom w:val="single" w:color="auto" w:sz="4" w:space="0"/>
            </w:tcBorders>
            <w:vAlign w:val="center"/>
          </w:tcPr>
          <w:p w14:paraId="7C29AC79">
            <w:pPr>
              <w:jc w:val="center"/>
              <w:rPr>
                <w:rFonts w:ascii="宋体" w:hAnsi="宋体" w:eastAsia="宋体"/>
                <w:lang w:eastAsia="en-US" w:bidi="en-US"/>
              </w:rPr>
            </w:pPr>
            <w:r>
              <w:rPr>
                <w:rFonts w:hint="eastAsia" w:ascii="宋体" w:hAnsi="宋体" w:eastAsia="宋体"/>
                <w:lang w:bidi="en-US"/>
              </w:rPr>
              <w:t>0-10</w:t>
            </w:r>
            <w:r>
              <w:rPr>
                <w:rFonts w:hint="eastAsia" w:ascii="宋体" w:hAnsi="宋体" w:eastAsia="宋体"/>
                <w:lang w:eastAsia="en-US" w:bidi="en-US"/>
              </w:rPr>
              <w:t>分</w:t>
            </w:r>
          </w:p>
        </w:tc>
      </w:tr>
      <w:tr w14:paraId="67F678A4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114" w:type="dxa"/>
            <w:left w:w="115" w:type="dxa"/>
            <w:bottom w:w="0" w:type="dxa"/>
            <w:right w:w="115" w:type="dxa"/>
          </w:tblCellMar>
        </w:tblPrEx>
        <w:trPr>
          <w:trHeight w:val="711" w:hRule="atLeast"/>
        </w:trPr>
        <w:tc>
          <w:tcPr>
            <w:tcW w:w="1883" w:type="dxa"/>
            <w:vMerge w:val="continue"/>
            <w:vAlign w:val="center"/>
          </w:tcPr>
          <w:p w14:paraId="275F1106">
            <w:pPr>
              <w:pStyle w:val="42"/>
              <w:spacing w:line="360" w:lineRule="auto"/>
              <w:jc w:val="center"/>
            </w:pPr>
          </w:p>
        </w:tc>
        <w:tc>
          <w:tcPr>
            <w:tcW w:w="6200" w:type="dxa"/>
            <w:shd w:val="clear" w:color="auto" w:fill="auto"/>
            <w:vAlign w:val="center"/>
          </w:tcPr>
          <w:p w14:paraId="051CCEFA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本项目重难点分析及合理化建议。（</w:t>
            </w:r>
            <w:r>
              <w:rPr>
                <w:rFonts w:hint="eastAsia" w:hAnsi="宋体" w:cs="宋体"/>
              </w:rPr>
              <w:t>对本项目的理解及重点难点分析全面、可行、有针对性的得</w:t>
            </w: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  <w:r>
              <w:rPr>
                <w:rFonts w:hint="eastAsia" w:hAnsi="宋体" w:cs="宋体"/>
              </w:rPr>
              <w:t>~</w:t>
            </w:r>
            <w:r>
              <w:rPr>
                <w:rFonts w:hint="eastAsia" w:ascii="宋体" w:hAnsi="宋体" w:cs="宋体"/>
                <w:kern w:val="0"/>
                <w:szCs w:val="21"/>
              </w:rPr>
              <w:t>10分</w:t>
            </w:r>
            <w:r>
              <w:rPr>
                <w:rFonts w:hint="eastAsia" w:hAnsi="宋体" w:cs="宋体"/>
              </w:rPr>
              <w:t>，一般的得</w:t>
            </w: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  <w:r>
              <w:rPr>
                <w:rFonts w:hint="eastAsia" w:hAnsi="宋体" w:cs="宋体"/>
              </w:rPr>
              <w:t>~</w:t>
            </w: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  <w:r>
              <w:rPr>
                <w:rFonts w:hint="eastAsia" w:hAnsi="宋体" w:cs="宋体"/>
              </w:rPr>
              <w:t>分，</w:t>
            </w:r>
            <w:r>
              <w:rPr>
                <w:rFonts w:hint="eastAsia"/>
              </w:rPr>
              <w:t>未提供或内容不完善</w:t>
            </w:r>
            <w:r>
              <w:rPr>
                <w:rFonts w:hint="eastAsia" w:ascii="宋体" w:hAnsi="宋体" w:cs="宋体"/>
                <w:kern w:val="0"/>
                <w:szCs w:val="21"/>
              </w:rPr>
              <w:t>得0</w:t>
            </w:r>
            <w:r>
              <w:rPr>
                <w:rFonts w:hint="eastAsia" w:hAnsi="宋体" w:cs="宋体"/>
              </w:rPr>
              <w:t>~</w:t>
            </w:r>
            <w:r>
              <w:rPr>
                <w:rFonts w:hint="eastAsia" w:ascii="宋体" w:hAnsi="宋体" w:cs="宋体"/>
                <w:kern w:val="0"/>
                <w:szCs w:val="21"/>
              </w:rPr>
              <w:t>3分</w:t>
            </w:r>
            <w:r>
              <w:rPr>
                <w:rFonts w:hint="eastAsia"/>
              </w:rPr>
              <w:t>。</w:t>
            </w:r>
            <w:r>
              <w:rPr>
                <w:rFonts w:hint="eastAsia" w:ascii="宋体" w:hAnsi="宋体" w:cs="宋体"/>
              </w:rPr>
              <w:t>）</w:t>
            </w:r>
            <w:bookmarkStart w:id="4" w:name="_GoBack"/>
            <w:bookmarkEnd w:id="4"/>
          </w:p>
        </w:tc>
        <w:tc>
          <w:tcPr>
            <w:tcW w:w="1334" w:type="dxa"/>
            <w:vAlign w:val="center"/>
          </w:tcPr>
          <w:p w14:paraId="3D3CFE59">
            <w:pPr>
              <w:jc w:val="center"/>
              <w:rPr>
                <w:rFonts w:ascii="宋体" w:hAnsi="宋体" w:eastAsia="宋体"/>
                <w:lang w:eastAsia="en-US" w:bidi="en-US"/>
              </w:rPr>
            </w:pPr>
            <w:r>
              <w:rPr>
                <w:rFonts w:hint="eastAsia" w:ascii="宋体" w:hAnsi="宋体" w:eastAsia="宋体"/>
                <w:lang w:bidi="en-US"/>
              </w:rPr>
              <w:t>0-10</w:t>
            </w:r>
            <w:r>
              <w:rPr>
                <w:rFonts w:ascii="宋体" w:hAnsi="宋体" w:eastAsia="宋体"/>
                <w:lang w:eastAsia="en-US" w:bidi="en-US"/>
              </w:rPr>
              <w:t>分</w:t>
            </w:r>
          </w:p>
        </w:tc>
      </w:tr>
      <w:tr w14:paraId="4A877FF6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114" w:type="dxa"/>
            <w:left w:w="115" w:type="dxa"/>
            <w:bottom w:w="0" w:type="dxa"/>
            <w:right w:w="115" w:type="dxa"/>
          </w:tblCellMar>
        </w:tblPrEx>
        <w:trPr>
          <w:trHeight w:val="711" w:hRule="atLeast"/>
        </w:trPr>
        <w:tc>
          <w:tcPr>
            <w:tcW w:w="1883" w:type="dxa"/>
            <w:vMerge w:val="continue"/>
            <w:vAlign w:val="center"/>
          </w:tcPr>
          <w:p w14:paraId="7C639717">
            <w:pPr>
              <w:pStyle w:val="42"/>
              <w:spacing w:line="360" w:lineRule="auto"/>
              <w:jc w:val="center"/>
            </w:pPr>
          </w:p>
        </w:tc>
        <w:tc>
          <w:tcPr>
            <w:tcW w:w="6200" w:type="dxa"/>
            <w:shd w:val="clear" w:color="auto" w:fill="auto"/>
            <w:vAlign w:val="center"/>
          </w:tcPr>
          <w:p w14:paraId="1CB4118C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公司具备卫生学考核资质证书，得5分，未满足不得分。近3年无重大质量事故、行政处罚或行业通报批评，得5分，未满足不得分。</w:t>
            </w:r>
          </w:p>
        </w:tc>
        <w:tc>
          <w:tcPr>
            <w:tcW w:w="1334" w:type="dxa"/>
            <w:vAlign w:val="center"/>
          </w:tcPr>
          <w:p w14:paraId="59857019">
            <w:pPr>
              <w:jc w:val="center"/>
              <w:rPr>
                <w:rFonts w:ascii="宋体" w:hAnsi="宋体" w:eastAsia="宋体"/>
                <w:lang w:eastAsia="en-US" w:bidi="en-US"/>
              </w:rPr>
            </w:pPr>
            <w:r>
              <w:rPr>
                <w:rFonts w:hint="eastAsia" w:ascii="宋体" w:hAnsi="宋体" w:eastAsia="宋体"/>
                <w:lang w:bidi="en-US"/>
              </w:rPr>
              <w:t>0-10</w:t>
            </w:r>
            <w:r>
              <w:rPr>
                <w:rFonts w:ascii="宋体" w:hAnsi="宋体" w:eastAsia="宋体"/>
                <w:lang w:eastAsia="en-US" w:bidi="en-US"/>
              </w:rPr>
              <w:t>分</w:t>
            </w:r>
          </w:p>
        </w:tc>
      </w:tr>
      <w:tr w14:paraId="6EF2D4AC">
        <w:tblPrEx>
          <w:tblBorders>
            <w:top w:val="single" w:color="000000" w:sz="0" w:space="0"/>
            <w:left w:val="single" w:color="000000" w:sz="0" w:space="0"/>
            <w:bottom w:val="single" w:color="000000" w:sz="0" w:space="0"/>
            <w:right w:val="single" w:color="000000" w:sz="0" w:space="0"/>
            <w:insideH w:val="single" w:color="000000" w:sz="0" w:space="0"/>
            <w:insideV w:val="single" w:color="000000" w:sz="0" w:space="0"/>
          </w:tblBorders>
          <w:tblCellMar>
            <w:top w:w="114" w:type="dxa"/>
            <w:left w:w="115" w:type="dxa"/>
            <w:bottom w:w="0" w:type="dxa"/>
            <w:right w:w="115" w:type="dxa"/>
          </w:tblCellMar>
        </w:tblPrEx>
        <w:trPr>
          <w:trHeight w:val="711" w:hRule="atLeast"/>
        </w:trPr>
        <w:tc>
          <w:tcPr>
            <w:tcW w:w="1883" w:type="dxa"/>
            <w:vMerge w:val="continue"/>
            <w:vAlign w:val="center"/>
          </w:tcPr>
          <w:p w14:paraId="77D8F166">
            <w:pPr>
              <w:pStyle w:val="42"/>
              <w:spacing w:line="360" w:lineRule="auto"/>
              <w:jc w:val="center"/>
            </w:pPr>
          </w:p>
        </w:tc>
        <w:tc>
          <w:tcPr>
            <w:tcW w:w="6200" w:type="dxa"/>
            <w:shd w:val="clear" w:color="auto" w:fill="auto"/>
            <w:vAlign w:val="center"/>
          </w:tcPr>
          <w:p w14:paraId="3E88E2D0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类似项目业绩（根据近三年类似项目业绩进行评审，是否属于有效的类似项目业绩由评审委员会认定，每提供1个得2分，最多得10分。提供业绩证明（以合同复印件为准，时间以合同签订日期为准））</w:t>
            </w:r>
          </w:p>
        </w:tc>
        <w:tc>
          <w:tcPr>
            <w:tcW w:w="1334" w:type="dxa"/>
            <w:vAlign w:val="center"/>
          </w:tcPr>
          <w:p w14:paraId="1AFACA1E">
            <w:pPr>
              <w:jc w:val="center"/>
              <w:rPr>
                <w:rFonts w:ascii="宋体" w:hAnsi="宋体" w:eastAsia="宋体"/>
                <w:lang w:eastAsia="en-US" w:bidi="en-US"/>
              </w:rPr>
            </w:pPr>
            <w:r>
              <w:rPr>
                <w:rFonts w:hint="eastAsia" w:ascii="宋体" w:hAnsi="宋体" w:eastAsia="宋体"/>
                <w:lang w:bidi="en-US"/>
              </w:rPr>
              <w:t>0-10</w:t>
            </w:r>
            <w:r>
              <w:rPr>
                <w:rFonts w:ascii="宋体" w:hAnsi="宋体" w:eastAsia="宋体"/>
                <w:lang w:eastAsia="en-US" w:bidi="en-US"/>
              </w:rPr>
              <w:t>分</w:t>
            </w:r>
          </w:p>
        </w:tc>
      </w:tr>
    </w:tbl>
    <w:p w14:paraId="6804E896">
      <w:pPr>
        <w:widowControl/>
        <w:spacing w:after="160" w:line="278" w:lineRule="auto"/>
        <w:jc w:val="left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04D71D"/>
    <w:multiLevelType w:val="singleLevel"/>
    <w:tmpl w:val="D004D71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8F228BD"/>
    <w:multiLevelType w:val="singleLevel"/>
    <w:tmpl w:val="28F228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FA"/>
    <w:rsid w:val="00006A65"/>
    <w:rsid w:val="0008127B"/>
    <w:rsid w:val="000E3FC3"/>
    <w:rsid w:val="001D365D"/>
    <w:rsid w:val="0020643C"/>
    <w:rsid w:val="00217B13"/>
    <w:rsid w:val="002C004C"/>
    <w:rsid w:val="002F2C03"/>
    <w:rsid w:val="0031511A"/>
    <w:rsid w:val="00325C4D"/>
    <w:rsid w:val="00417C14"/>
    <w:rsid w:val="004F6D97"/>
    <w:rsid w:val="005156B9"/>
    <w:rsid w:val="005A7AF3"/>
    <w:rsid w:val="005E0145"/>
    <w:rsid w:val="006006A3"/>
    <w:rsid w:val="006741C4"/>
    <w:rsid w:val="007C32CE"/>
    <w:rsid w:val="007C462A"/>
    <w:rsid w:val="007D4594"/>
    <w:rsid w:val="007F42B7"/>
    <w:rsid w:val="00866335"/>
    <w:rsid w:val="00885D23"/>
    <w:rsid w:val="008D1E44"/>
    <w:rsid w:val="00966AF0"/>
    <w:rsid w:val="00B31AC3"/>
    <w:rsid w:val="00B34A1A"/>
    <w:rsid w:val="00BB3085"/>
    <w:rsid w:val="00CF55A5"/>
    <w:rsid w:val="00D03026"/>
    <w:rsid w:val="00DC0105"/>
    <w:rsid w:val="00E23A67"/>
    <w:rsid w:val="00E820FA"/>
    <w:rsid w:val="00EA2847"/>
    <w:rsid w:val="00F471AB"/>
    <w:rsid w:val="00FA3E06"/>
    <w:rsid w:val="017D31AE"/>
    <w:rsid w:val="019D115B"/>
    <w:rsid w:val="02083BFD"/>
    <w:rsid w:val="02B524D4"/>
    <w:rsid w:val="03B8477B"/>
    <w:rsid w:val="04375660"/>
    <w:rsid w:val="04477AA3"/>
    <w:rsid w:val="04E13A54"/>
    <w:rsid w:val="052B1173"/>
    <w:rsid w:val="054D10EA"/>
    <w:rsid w:val="06756451"/>
    <w:rsid w:val="06B35531"/>
    <w:rsid w:val="07747F4A"/>
    <w:rsid w:val="07D56FF5"/>
    <w:rsid w:val="08512865"/>
    <w:rsid w:val="08E7715F"/>
    <w:rsid w:val="0A0C3321"/>
    <w:rsid w:val="0AC105A6"/>
    <w:rsid w:val="0AE4604C"/>
    <w:rsid w:val="0C1E558E"/>
    <w:rsid w:val="0C8C5276"/>
    <w:rsid w:val="0D083A90"/>
    <w:rsid w:val="0D0F1361"/>
    <w:rsid w:val="0D907DC5"/>
    <w:rsid w:val="0F661726"/>
    <w:rsid w:val="101A606C"/>
    <w:rsid w:val="1054330C"/>
    <w:rsid w:val="113E5D8A"/>
    <w:rsid w:val="11665A0D"/>
    <w:rsid w:val="117A5014"/>
    <w:rsid w:val="12A367ED"/>
    <w:rsid w:val="13286CF2"/>
    <w:rsid w:val="133A2B6A"/>
    <w:rsid w:val="13B034AA"/>
    <w:rsid w:val="14AD3953"/>
    <w:rsid w:val="14C95AF3"/>
    <w:rsid w:val="151F51CF"/>
    <w:rsid w:val="158C3568"/>
    <w:rsid w:val="15B14D7D"/>
    <w:rsid w:val="17DF02C7"/>
    <w:rsid w:val="17FA6EAF"/>
    <w:rsid w:val="18C76DEE"/>
    <w:rsid w:val="192D0BBE"/>
    <w:rsid w:val="1941466A"/>
    <w:rsid w:val="194F6D87"/>
    <w:rsid w:val="195C1485"/>
    <w:rsid w:val="19713243"/>
    <w:rsid w:val="19B206A5"/>
    <w:rsid w:val="19CF7EC7"/>
    <w:rsid w:val="1B210BF7"/>
    <w:rsid w:val="1C4C30B4"/>
    <w:rsid w:val="1D5232E9"/>
    <w:rsid w:val="1D5664DC"/>
    <w:rsid w:val="1D601DE5"/>
    <w:rsid w:val="1E330879"/>
    <w:rsid w:val="1E44245A"/>
    <w:rsid w:val="1E4A0464"/>
    <w:rsid w:val="1E51534F"/>
    <w:rsid w:val="1ECA499A"/>
    <w:rsid w:val="1EFF124F"/>
    <w:rsid w:val="1F10520A"/>
    <w:rsid w:val="1FE2748A"/>
    <w:rsid w:val="20142AD8"/>
    <w:rsid w:val="20B16579"/>
    <w:rsid w:val="20E920EC"/>
    <w:rsid w:val="21BA18CA"/>
    <w:rsid w:val="22B45EAC"/>
    <w:rsid w:val="22FE5379"/>
    <w:rsid w:val="233A7948"/>
    <w:rsid w:val="233C481F"/>
    <w:rsid w:val="24AB32DF"/>
    <w:rsid w:val="25F0544D"/>
    <w:rsid w:val="26956E9E"/>
    <w:rsid w:val="27206206"/>
    <w:rsid w:val="27AB7A4E"/>
    <w:rsid w:val="27C5362E"/>
    <w:rsid w:val="286E6AFD"/>
    <w:rsid w:val="289B2968"/>
    <w:rsid w:val="293D7D2C"/>
    <w:rsid w:val="29DD3F3B"/>
    <w:rsid w:val="29E17ECF"/>
    <w:rsid w:val="2BFB4B4C"/>
    <w:rsid w:val="2C7A6134"/>
    <w:rsid w:val="2CC118F2"/>
    <w:rsid w:val="2D574004"/>
    <w:rsid w:val="2E5A0250"/>
    <w:rsid w:val="2E862DF3"/>
    <w:rsid w:val="2F2148C9"/>
    <w:rsid w:val="2F671CE5"/>
    <w:rsid w:val="2FC71915"/>
    <w:rsid w:val="30360848"/>
    <w:rsid w:val="30BD0622"/>
    <w:rsid w:val="332C27C3"/>
    <w:rsid w:val="34296EAD"/>
    <w:rsid w:val="35AD335B"/>
    <w:rsid w:val="35BC17F0"/>
    <w:rsid w:val="36721EAF"/>
    <w:rsid w:val="37313B18"/>
    <w:rsid w:val="373832E3"/>
    <w:rsid w:val="37A61E10"/>
    <w:rsid w:val="386C352A"/>
    <w:rsid w:val="38925F00"/>
    <w:rsid w:val="39447B32"/>
    <w:rsid w:val="399860D0"/>
    <w:rsid w:val="3A2B6F44"/>
    <w:rsid w:val="3A8A3C6B"/>
    <w:rsid w:val="3A96552E"/>
    <w:rsid w:val="3B0079E6"/>
    <w:rsid w:val="3C862210"/>
    <w:rsid w:val="3C8841DA"/>
    <w:rsid w:val="3D2354C9"/>
    <w:rsid w:val="3DC31695"/>
    <w:rsid w:val="3FAE3F57"/>
    <w:rsid w:val="401364B0"/>
    <w:rsid w:val="40CE4185"/>
    <w:rsid w:val="416C5E78"/>
    <w:rsid w:val="419862BE"/>
    <w:rsid w:val="427C658F"/>
    <w:rsid w:val="44E22676"/>
    <w:rsid w:val="44E73A68"/>
    <w:rsid w:val="46BC1650"/>
    <w:rsid w:val="46C025FF"/>
    <w:rsid w:val="46ED239E"/>
    <w:rsid w:val="481608EC"/>
    <w:rsid w:val="487B4BF3"/>
    <w:rsid w:val="4A023CFE"/>
    <w:rsid w:val="4A6A3171"/>
    <w:rsid w:val="4AC079A4"/>
    <w:rsid w:val="4B9366F7"/>
    <w:rsid w:val="4BE97219"/>
    <w:rsid w:val="4C714C8A"/>
    <w:rsid w:val="4CA6280C"/>
    <w:rsid w:val="4CF3569F"/>
    <w:rsid w:val="4D6D7FF3"/>
    <w:rsid w:val="4DD747A8"/>
    <w:rsid w:val="4DDD2D74"/>
    <w:rsid w:val="4E0F02B7"/>
    <w:rsid w:val="4EFD0A57"/>
    <w:rsid w:val="50B05655"/>
    <w:rsid w:val="50E7551B"/>
    <w:rsid w:val="531C6FD2"/>
    <w:rsid w:val="532F6D06"/>
    <w:rsid w:val="5349426B"/>
    <w:rsid w:val="54815C87"/>
    <w:rsid w:val="54CB0CB0"/>
    <w:rsid w:val="54ED50CA"/>
    <w:rsid w:val="550D21EE"/>
    <w:rsid w:val="55935C72"/>
    <w:rsid w:val="55B1434A"/>
    <w:rsid w:val="55FA184D"/>
    <w:rsid w:val="56527629"/>
    <w:rsid w:val="568D0913"/>
    <w:rsid w:val="56A30136"/>
    <w:rsid w:val="581035A9"/>
    <w:rsid w:val="5888429A"/>
    <w:rsid w:val="5A1C405F"/>
    <w:rsid w:val="5AC8016B"/>
    <w:rsid w:val="5AE80636"/>
    <w:rsid w:val="5B21787C"/>
    <w:rsid w:val="5B465534"/>
    <w:rsid w:val="5B8A08D0"/>
    <w:rsid w:val="5B8E5344"/>
    <w:rsid w:val="5E0019CA"/>
    <w:rsid w:val="5E391380"/>
    <w:rsid w:val="5E5E4943"/>
    <w:rsid w:val="5E906BCB"/>
    <w:rsid w:val="5EA92062"/>
    <w:rsid w:val="61A539C2"/>
    <w:rsid w:val="62F933A7"/>
    <w:rsid w:val="6353510B"/>
    <w:rsid w:val="63F95413"/>
    <w:rsid w:val="6410048D"/>
    <w:rsid w:val="65006FEF"/>
    <w:rsid w:val="65CD16E2"/>
    <w:rsid w:val="66030B7B"/>
    <w:rsid w:val="6633750E"/>
    <w:rsid w:val="667473F9"/>
    <w:rsid w:val="66770C98"/>
    <w:rsid w:val="67825B46"/>
    <w:rsid w:val="683D77C1"/>
    <w:rsid w:val="684B418A"/>
    <w:rsid w:val="68550B54"/>
    <w:rsid w:val="685A568A"/>
    <w:rsid w:val="68875B37"/>
    <w:rsid w:val="68E82F6A"/>
    <w:rsid w:val="69601EB7"/>
    <w:rsid w:val="6ACD532A"/>
    <w:rsid w:val="6B41549F"/>
    <w:rsid w:val="6BEE5558"/>
    <w:rsid w:val="6C944351"/>
    <w:rsid w:val="6D836174"/>
    <w:rsid w:val="6E6E4063"/>
    <w:rsid w:val="6EDC3D8E"/>
    <w:rsid w:val="6F4B6983"/>
    <w:rsid w:val="6F935B10"/>
    <w:rsid w:val="6FF9096F"/>
    <w:rsid w:val="70117A67"/>
    <w:rsid w:val="70BF74C3"/>
    <w:rsid w:val="71507C77"/>
    <w:rsid w:val="71CF6981"/>
    <w:rsid w:val="71E371E1"/>
    <w:rsid w:val="746F7F51"/>
    <w:rsid w:val="74841A7E"/>
    <w:rsid w:val="74DD616A"/>
    <w:rsid w:val="76585078"/>
    <w:rsid w:val="774E15A1"/>
    <w:rsid w:val="77785EA7"/>
    <w:rsid w:val="77F35CA4"/>
    <w:rsid w:val="78AE679B"/>
    <w:rsid w:val="791800B8"/>
    <w:rsid w:val="7940316B"/>
    <w:rsid w:val="7A146AD1"/>
    <w:rsid w:val="7A1C7734"/>
    <w:rsid w:val="7B7A0BB6"/>
    <w:rsid w:val="7B825CBD"/>
    <w:rsid w:val="7BCE4A5E"/>
    <w:rsid w:val="7C9F44B8"/>
    <w:rsid w:val="7D913F95"/>
    <w:rsid w:val="7DA16AD8"/>
    <w:rsid w:val="7ED4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4"/>
    <w:unhideWhenUsed/>
    <w:qFormat/>
    <w:uiPriority w:val="99"/>
    <w:pPr>
      <w:jc w:val="left"/>
    </w:pPr>
  </w:style>
  <w:style w:type="paragraph" w:styleId="12">
    <w:name w:val="Body Text"/>
    <w:basedOn w:val="1"/>
    <w:link w:val="39"/>
    <w:qFormat/>
    <w:uiPriority w:val="1"/>
    <w:pPr>
      <w:autoSpaceDE w:val="0"/>
      <w:autoSpaceDN w:val="0"/>
      <w:adjustRightInd w:val="0"/>
      <w:jc w:val="left"/>
    </w:pPr>
    <w:rPr>
      <w:rFonts w:ascii="宋体" w:hAnsi="Times New Roman" w:eastAsia="宋体" w:cs="宋体"/>
      <w:kern w:val="0"/>
      <w:sz w:val="28"/>
      <w:szCs w:val="28"/>
      <w14:ligatures w14:val="standardContextual"/>
    </w:rPr>
  </w:style>
  <w:style w:type="paragraph" w:styleId="13">
    <w:name w:val="Balloon Text"/>
    <w:basedOn w:val="1"/>
    <w:link w:val="46"/>
    <w:semiHidden/>
    <w:unhideWhenUsed/>
    <w:qFormat/>
    <w:uiPriority w:val="99"/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annotation subject"/>
    <w:basedOn w:val="11"/>
    <w:next w:val="11"/>
    <w:link w:val="45"/>
    <w:semiHidden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annotation reference"/>
    <w:qFormat/>
    <w:uiPriority w:val="99"/>
    <w:rPr>
      <w:sz w:val="21"/>
      <w:szCs w:val="21"/>
    </w:rPr>
  </w:style>
  <w:style w:type="character" w:customStyle="1" w:styleId="21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link w:val="40"/>
    <w:qFormat/>
    <w:uiPriority w:val="0"/>
    <w:pPr>
      <w:ind w:left="720"/>
      <w:contextualSpacing/>
    </w:pPr>
  </w:style>
  <w:style w:type="character" w:customStyle="1" w:styleId="35">
    <w:name w:val="Intense Emphasis1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Intense Reference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正文文本 字符"/>
    <w:basedOn w:val="19"/>
    <w:link w:val="12"/>
    <w:qFormat/>
    <w:uiPriority w:val="1"/>
    <w:rPr>
      <w:rFonts w:ascii="宋体" w:hAnsi="Times New Roman" w:eastAsia="宋体" w:cs="宋体"/>
      <w:kern w:val="0"/>
      <w:sz w:val="28"/>
      <w:szCs w:val="28"/>
    </w:rPr>
  </w:style>
  <w:style w:type="character" w:customStyle="1" w:styleId="40">
    <w:name w:val="列表段落 字符"/>
    <w:link w:val="34"/>
    <w:qFormat/>
    <w:uiPriority w:val="0"/>
    <w:rPr>
      <w:sz w:val="21"/>
      <w:szCs w:val="22"/>
      <w14:ligatures w14:val="none"/>
    </w:rPr>
  </w:style>
  <w:style w:type="paragraph" w:customStyle="1" w:styleId="41">
    <w:name w:val="正文文字1"/>
    <w:basedOn w:val="12"/>
    <w:qFormat/>
    <w:uiPriority w:val="0"/>
    <w:pPr>
      <w:autoSpaceDE/>
      <w:autoSpaceDN/>
      <w:spacing w:line="360" w:lineRule="atLeast"/>
      <w:ind w:left="72" w:leftChars="30" w:right="72" w:rightChars="30"/>
      <w:jc w:val="both"/>
      <w:textAlignment w:val="baseline"/>
    </w:pPr>
    <w:rPr>
      <w:rFonts w:ascii="Times New Roman" w:cs="Times New Roman"/>
      <w:sz w:val="21"/>
      <w:szCs w:val="20"/>
      <w14:ligatures w14:val="none"/>
    </w:rPr>
  </w:style>
  <w:style w:type="paragraph" w:customStyle="1" w:styleId="42">
    <w:name w:val="[Normal]"/>
    <w:qFormat/>
    <w:uiPriority w:val="0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customStyle="1" w:styleId="43">
    <w:name w:val="Revision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4">
    <w:name w:val="批注文字 字符"/>
    <w:basedOn w:val="19"/>
    <w:link w:val="11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5">
    <w:name w:val="批注主题 字符"/>
    <w:basedOn w:val="44"/>
    <w:link w:val="1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46">
    <w:name w:val="批注框文本 字符"/>
    <w:basedOn w:val="19"/>
    <w:link w:val="1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0CD00-965C-4B1A-86A2-0A726D26FC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1640</Words>
  <Characters>1875</Characters>
  <Lines>15</Lines>
  <Paragraphs>4</Paragraphs>
  <TotalTime>78</TotalTime>
  <ScaleCrop>false</ScaleCrop>
  <LinksUpToDate>false</LinksUpToDate>
  <CharactersWithSpaces>1923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2026-02-03T05:48:00Z</dcterms:created>
  <dc:creator>zyq</dc:creator>
  <cp:lastModifiedBy>齊齐</cp:lastModifiedBy>
  <dcterms:modified xsi:type="dcterms:W3CDTF">2026-04-29T12:13:59Z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eyJoZGlkIjoiZWQ3YzIyODJiYzRiZWVkOWNjYjEwMTE4NjBjMjMzODQiLCJ1c2VySWQiOiIxMDQ4NjU4MTQxIn0=</vt:lpwstr>
  </property>
  <property fmtid="{D5CDD505-2E9C-101B-9397-08002B2CF9AE}" pid="3" name="KSOProductBuildVer">
    <vt:lpwstr>2052-12.1.0.25865</vt:lpwstr>
  </property>
  <property fmtid="{D5CDD505-2E9C-101B-9397-08002B2CF9AE}" pid="4" name="ICV">
    <vt:lpwstr>6D595F0F973D4BC497D20B8363D84A67_13</vt:lpwstr>
  </property>
</Properties>
</file>